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140D" w14:textId="567E10E9" w:rsidR="00E71E0A" w:rsidRDefault="00323EF1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J.nr. 2024-784</w:t>
      </w:r>
    </w:p>
    <w:p w14:paraId="3FF2D579" w14:textId="77777777" w:rsidR="00E71E0A" w:rsidRDefault="00E71E0A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</w:p>
    <w:p w14:paraId="1738B97E" w14:textId="77777777" w:rsidR="00212900" w:rsidRDefault="00212900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</w:p>
    <w:p w14:paraId="4C58220E" w14:textId="77777777" w:rsidR="00212900" w:rsidRDefault="00212900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</w:p>
    <w:p w14:paraId="081BEEAB" w14:textId="77777777" w:rsidR="00212900" w:rsidRDefault="00212900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</w:p>
    <w:p w14:paraId="22F8A390" w14:textId="6C1F4EB9" w:rsidR="005852E5" w:rsidRPr="006161CE" w:rsidRDefault="00CC33CF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sz w:val="24"/>
          <w:szCs w:val="24"/>
        </w:rPr>
        <w:t xml:space="preserve">Bekendtgørelse om ændring af </w:t>
      </w:r>
      <w:r w:rsidR="004B44E4" w:rsidRPr="006161CE">
        <w:rPr>
          <w:rFonts w:ascii="Times New Roman" w:hAnsi="Times New Roman" w:cs="Times New Roman"/>
          <w:sz w:val="24"/>
          <w:szCs w:val="24"/>
        </w:rPr>
        <w:t>moms</w:t>
      </w:r>
      <w:r w:rsidRPr="006161CE">
        <w:rPr>
          <w:rFonts w:ascii="Times New Roman" w:hAnsi="Times New Roman" w:cs="Times New Roman"/>
          <w:sz w:val="24"/>
          <w:szCs w:val="24"/>
        </w:rPr>
        <w:t>bekendtgørelse</w:t>
      </w:r>
      <w:r w:rsidR="004B44E4" w:rsidRPr="006161CE">
        <w:rPr>
          <w:rFonts w:ascii="Times New Roman" w:hAnsi="Times New Roman" w:cs="Times New Roman"/>
          <w:sz w:val="24"/>
          <w:szCs w:val="24"/>
        </w:rPr>
        <w:t>n</w:t>
      </w:r>
    </w:p>
    <w:p w14:paraId="2F841F62" w14:textId="59B895C7" w:rsidR="00CC33CF" w:rsidRPr="006161CE" w:rsidRDefault="00CC33CF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4A0E1E6" w14:textId="51E00EB2" w:rsidR="00CC33CF" w:rsidRPr="006161CE" w:rsidRDefault="00CC33CF" w:rsidP="00E12583">
      <w:pPr>
        <w:spacing w:line="300" w:lineRule="auto"/>
        <w:ind w:firstLine="238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sz w:val="24"/>
          <w:szCs w:val="24"/>
        </w:rPr>
        <w:t xml:space="preserve">I </w:t>
      </w:r>
      <w:r w:rsidR="004B44E4" w:rsidRPr="006161CE">
        <w:rPr>
          <w:rFonts w:ascii="Times New Roman" w:hAnsi="Times New Roman" w:cs="Times New Roman"/>
          <w:sz w:val="24"/>
          <w:szCs w:val="24"/>
        </w:rPr>
        <w:t>moms</w:t>
      </w:r>
      <w:r w:rsidRPr="006161CE">
        <w:rPr>
          <w:rFonts w:ascii="Times New Roman" w:hAnsi="Times New Roman" w:cs="Times New Roman"/>
          <w:sz w:val="24"/>
          <w:szCs w:val="24"/>
        </w:rPr>
        <w:t>bekendtgørelse</w:t>
      </w:r>
      <w:r w:rsidR="004B44E4" w:rsidRPr="006161CE">
        <w:rPr>
          <w:rFonts w:ascii="Times New Roman" w:hAnsi="Times New Roman" w:cs="Times New Roman"/>
          <w:sz w:val="24"/>
          <w:szCs w:val="24"/>
        </w:rPr>
        <w:t xml:space="preserve">n, bekendtgørelse nr. 1435 af 29. november 2023, </w:t>
      </w:r>
      <w:r w:rsidRPr="006161CE">
        <w:rPr>
          <w:rFonts w:ascii="Times New Roman" w:hAnsi="Times New Roman" w:cs="Times New Roman"/>
          <w:sz w:val="24"/>
          <w:szCs w:val="24"/>
        </w:rPr>
        <w:t xml:space="preserve">foretages </w:t>
      </w:r>
      <w:r w:rsidR="004B44E4" w:rsidRPr="006161CE">
        <w:rPr>
          <w:rFonts w:ascii="Times New Roman" w:hAnsi="Times New Roman" w:cs="Times New Roman"/>
          <w:sz w:val="24"/>
          <w:szCs w:val="24"/>
        </w:rPr>
        <w:t>f</w:t>
      </w:r>
      <w:r w:rsidRPr="006161CE">
        <w:rPr>
          <w:rFonts w:ascii="Times New Roman" w:hAnsi="Times New Roman" w:cs="Times New Roman"/>
          <w:sz w:val="24"/>
          <w:szCs w:val="24"/>
        </w:rPr>
        <w:t>ølgende ændringer:</w:t>
      </w:r>
    </w:p>
    <w:p w14:paraId="689FA5C2" w14:textId="6FAC2A2B" w:rsidR="00F05264" w:rsidRPr="00F05264" w:rsidRDefault="008732F9" w:rsidP="00F05264">
      <w:pPr>
        <w:pStyle w:val="Listeafsnit"/>
        <w:numPr>
          <w:ilvl w:val="0"/>
          <w:numId w:val="5"/>
        </w:numPr>
        <w:tabs>
          <w:tab w:val="left" w:pos="284"/>
        </w:tabs>
        <w:spacing w:after="0"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F0526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1118E3" w:rsidRPr="00F05264">
        <w:rPr>
          <w:rFonts w:ascii="Times New Roman" w:hAnsi="Times New Roman" w:cs="Times New Roman"/>
          <w:i/>
          <w:sz w:val="24"/>
          <w:szCs w:val="24"/>
        </w:rPr>
        <w:t>ndledningen</w:t>
      </w:r>
      <w:r w:rsidR="001118E3" w:rsidRPr="00F05264">
        <w:rPr>
          <w:rFonts w:ascii="Times New Roman" w:hAnsi="Times New Roman" w:cs="Times New Roman"/>
          <w:sz w:val="24"/>
          <w:szCs w:val="24"/>
        </w:rPr>
        <w:t xml:space="preserve"> </w:t>
      </w:r>
      <w:r w:rsidRPr="00F05264">
        <w:rPr>
          <w:rFonts w:ascii="Times New Roman" w:hAnsi="Times New Roman" w:cs="Times New Roman"/>
          <w:sz w:val="24"/>
          <w:szCs w:val="24"/>
        </w:rPr>
        <w:t>affattes således:</w:t>
      </w:r>
    </w:p>
    <w:p w14:paraId="28373513" w14:textId="31CE60BF" w:rsidR="00F05264" w:rsidRDefault="008732F9" w:rsidP="00F05264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F05264">
        <w:rPr>
          <w:rFonts w:ascii="Times New Roman" w:hAnsi="Times New Roman" w:cs="Times New Roman"/>
          <w:b/>
          <w:sz w:val="24"/>
          <w:szCs w:val="24"/>
        </w:rPr>
        <w:t>»</w:t>
      </w:r>
      <w:r w:rsidRPr="00F05264">
        <w:rPr>
          <w:rFonts w:ascii="Times New Roman" w:hAnsi="Times New Roman" w:cs="Times New Roman"/>
          <w:bCs/>
          <w:sz w:val="24"/>
          <w:szCs w:val="24"/>
        </w:rPr>
        <w:t>I medfør af § 13, stk. 1, nr. 17, og stk. 3, § 29, stk. 4, § 34, stk. 1, nr. 5, og stk. 4, 5 og 9, § 35, stk. 1, nr. 2, § 36, stk. 1, nr. 2, og stk. 7, § 37, stk. 4, § 38, stk. 4, § 42, stk. 5, § 43, stk. 4, § 45, stk. 17, § 46, stk. 1</w:t>
      </w:r>
      <w:r w:rsidR="00A6030D" w:rsidRPr="00F05264">
        <w:rPr>
          <w:rFonts w:ascii="Times New Roman" w:hAnsi="Times New Roman" w:cs="Times New Roman"/>
          <w:bCs/>
          <w:sz w:val="24"/>
          <w:szCs w:val="24"/>
        </w:rPr>
        <w:t>4</w:t>
      </w:r>
      <w:r w:rsidRPr="00F05264">
        <w:rPr>
          <w:rFonts w:ascii="Times New Roman" w:hAnsi="Times New Roman" w:cs="Times New Roman"/>
          <w:bCs/>
          <w:sz w:val="24"/>
          <w:szCs w:val="24"/>
        </w:rPr>
        <w:t xml:space="preserve">, § 46 b, stk. 2, § 51, stk. 3, § 51 b, stk. 2, § 52 a, stk. 9, § 52 c, stk. 6, § 53, stk. 1, § 54, stk. 1 og 2, § 55, § 55 c, stk. 2, § 55 e, § 57, stk. 1, 62 a, stk. 6, § 64, stk. 1, § 66 k, § 66 u, § 68 a, stk. 2, § 71 a, stk. 3, § 72, stk. 5, § 73 a, stk. 3, § 78, stk. 2, og § 81, stk. 2, i momsloven, jf. lovbekendtgørelse nr. </w:t>
      </w:r>
      <w:r w:rsidR="00470CF8" w:rsidRPr="00F05264">
        <w:rPr>
          <w:rFonts w:ascii="Times New Roman" w:hAnsi="Times New Roman" w:cs="Times New Roman"/>
          <w:bCs/>
          <w:sz w:val="24"/>
          <w:szCs w:val="24"/>
        </w:rPr>
        <w:t xml:space="preserve">209 </w:t>
      </w:r>
      <w:r w:rsidRPr="00F05264">
        <w:rPr>
          <w:rFonts w:ascii="Times New Roman" w:hAnsi="Times New Roman" w:cs="Times New Roman"/>
          <w:bCs/>
          <w:sz w:val="24"/>
          <w:szCs w:val="24"/>
        </w:rPr>
        <w:t>af 2</w:t>
      </w:r>
      <w:r w:rsidR="00470CF8" w:rsidRPr="00F05264">
        <w:rPr>
          <w:rFonts w:ascii="Times New Roman" w:hAnsi="Times New Roman" w:cs="Times New Roman"/>
          <w:bCs/>
          <w:sz w:val="24"/>
          <w:szCs w:val="24"/>
        </w:rPr>
        <w:t>7</w:t>
      </w:r>
      <w:r w:rsidRPr="00F052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70CF8" w:rsidRPr="00F05264">
        <w:rPr>
          <w:rFonts w:ascii="Times New Roman" w:hAnsi="Times New Roman" w:cs="Times New Roman"/>
          <w:bCs/>
          <w:sz w:val="24"/>
          <w:szCs w:val="24"/>
        </w:rPr>
        <w:t>februar</w:t>
      </w:r>
      <w:r w:rsidRPr="00F05264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470CF8" w:rsidRPr="00F05264">
        <w:rPr>
          <w:rFonts w:ascii="Times New Roman" w:hAnsi="Times New Roman" w:cs="Times New Roman"/>
          <w:bCs/>
          <w:sz w:val="24"/>
          <w:szCs w:val="24"/>
        </w:rPr>
        <w:t>24</w:t>
      </w:r>
      <w:r w:rsidRPr="00F05264">
        <w:rPr>
          <w:rFonts w:ascii="Times New Roman" w:hAnsi="Times New Roman" w:cs="Times New Roman"/>
          <w:bCs/>
          <w:sz w:val="24"/>
          <w:szCs w:val="24"/>
        </w:rPr>
        <w:t xml:space="preserve">, som ændret ved lov nr. </w:t>
      </w:r>
      <w:r w:rsidR="00470CF8" w:rsidRPr="00F05264">
        <w:rPr>
          <w:rFonts w:ascii="Times New Roman" w:hAnsi="Times New Roman" w:cs="Times New Roman"/>
          <w:bCs/>
          <w:sz w:val="24"/>
          <w:szCs w:val="24"/>
        </w:rPr>
        <w:t>1310 af 6. december 2019 og lov nr. 332 af 9. april 2024</w:t>
      </w:r>
      <w:r w:rsidRPr="00F05264">
        <w:rPr>
          <w:rFonts w:ascii="Times New Roman" w:hAnsi="Times New Roman" w:cs="Times New Roman"/>
          <w:bCs/>
          <w:sz w:val="24"/>
          <w:szCs w:val="24"/>
        </w:rPr>
        <w:t>, og § 35, stk. 1-4, i skatteforvaltningsloven, jf. lovbekendtgørelse nr. 835 af 3. juni 2022, fastsættes:«</w:t>
      </w:r>
    </w:p>
    <w:p w14:paraId="38060341" w14:textId="77777777" w:rsidR="00F05264" w:rsidRDefault="00F05264" w:rsidP="00F05264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A238793" w14:textId="7560E849" w:rsidR="00AD28D5" w:rsidRDefault="00AD28D5" w:rsidP="00AD28D5">
      <w:pPr>
        <w:pStyle w:val="Listeafsnit"/>
        <w:numPr>
          <w:ilvl w:val="0"/>
          <w:numId w:val="5"/>
        </w:numPr>
        <w:spacing w:after="0"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§ 43, 1. pkt., </w:t>
      </w:r>
      <w:r>
        <w:rPr>
          <w:rFonts w:ascii="Times New Roman" w:hAnsi="Times New Roman" w:cs="Times New Roman"/>
          <w:bCs/>
          <w:sz w:val="24"/>
          <w:szCs w:val="24"/>
        </w:rPr>
        <w:t xml:space="preserve">ændres </w:t>
      </w:r>
      <w:r w:rsidRPr="00E71E0A">
        <w:rPr>
          <w:rFonts w:ascii="Times New Roman" w:hAnsi="Times New Roman" w:cs="Times New Roman"/>
          <w:bCs/>
          <w:sz w:val="24"/>
          <w:szCs w:val="24"/>
        </w:rPr>
        <w:t>»§ 45, stk. 12</w:t>
      </w:r>
      <w:r w:rsidRPr="00F05264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 til: </w:t>
      </w:r>
      <w:r w:rsidRPr="00BC4E24">
        <w:rPr>
          <w:rFonts w:ascii="Times New Roman" w:hAnsi="Times New Roman" w:cs="Times New Roman"/>
          <w:bCs/>
          <w:sz w:val="24"/>
          <w:szCs w:val="24"/>
        </w:rPr>
        <w:t>»§ 45, stk. 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F05264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EC8B230" w14:textId="77777777" w:rsidR="00AD28D5" w:rsidRPr="00E71E0A" w:rsidRDefault="00AD28D5" w:rsidP="00E71E0A">
      <w:pPr>
        <w:pStyle w:val="Listeafsnit"/>
        <w:spacing w:after="0" w:line="30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14:paraId="701BBFB0" w14:textId="06CCDC40" w:rsidR="00C10E01" w:rsidRPr="006161CE" w:rsidRDefault="00C10E01" w:rsidP="00F05264">
      <w:pPr>
        <w:pStyle w:val="Listeafsnit"/>
        <w:numPr>
          <w:ilvl w:val="0"/>
          <w:numId w:val="5"/>
        </w:numPr>
        <w:spacing w:after="0" w:line="30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i/>
          <w:iCs/>
          <w:sz w:val="24"/>
          <w:szCs w:val="24"/>
        </w:rPr>
        <w:t xml:space="preserve">§ 46 </w:t>
      </w:r>
      <w:r w:rsidR="00F10580">
        <w:rPr>
          <w:rFonts w:ascii="Times New Roman" w:hAnsi="Times New Roman" w:cs="Times New Roman"/>
          <w:sz w:val="24"/>
          <w:szCs w:val="24"/>
        </w:rPr>
        <w:t>affattes således:</w:t>
      </w:r>
      <w:r w:rsidR="00F10580" w:rsidRPr="006161CE">
        <w:rPr>
          <w:rStyle w:val="Kommentarhenvisning"/>
          <w:rFonts w:ascii="Times New Roman" w:hAnsi="Times New Roman" w:cs="Times New Roman"/>
          <w:sz w:val="24"/>
          <w:szCs w:val="24"/>
        </w:rPr>
        <w:t xml:space="preserve"> </w:t>
      </w:r>
    </w:p>
    <w:p w14:paraId="102D47E4" w14:textId="53CF2470" w:rsidR="001118E3" w:rsidRDefault="00373C74" w:rsidP="00F05264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F10580">
        <w:rPr>
          <w:rFonts w:ascii="Times New Roman" w:hAnsi="Times New Roman" w:cs="Times New Roman"/>
          <w:b/>
          <w:sz w:val="24"/>
          <w:szCs w:val="24"/>
        </w:rPr>
        <w:t>»</w:t>
      </w:r>
      <w:r w:rsidR="00F10580" w:rsidRPr="00F10580">
        <w:rPr>
          <w:rFonts w:ascii="Times New Roman" w:hAnsi="Times New Roman" w:cs="Times New Roman"/>
          <w:b/>
          <w:sz w:val="24"/>
          <w:szCs w:val="24"/>
        </w:rPr>
        <w:t>§</w:t>
      </w:r>
      <w:r w:rsidR="00F10580">
        <w:rPr>
          <w:rFonts w:ascii="Times New Roman" w:hAnsi="Times New Roman" w:cs="Times New Roman"/>
          <w:b/>
          <w:sz w:val="24"/>
          <w:szCs w:val="24"/>
        </w:rPr>
        <w:t xml:space="preserve"> 46. </w:t>
      </w:r>
      <w:r w:rsidR="00F10580" w:rsidRPr="00F10580">
        <w:rPr>
          <w:rFonts w:ascii="Times New Roman" w:hAnsi="Times New Roman" w:cs="Times New Roman"/>
          <w:bCs/>
          <w:sz w:val="24"/>
          <w:szCs w:val="24"/>
        </w:rPr>
        <w:t xml:space="preserve">Køberen skal over for virksomheden og Skatteforvaltningen dokumentere sin bopæl eller sædvanligt opholdssted uden for EU ved forevisning af pas, identitetskort eller anden tilsvarende billedlegitimation. Hvis oplysninger om </w:t>
      </w:r>
      <w:r w:rsidR="00F10580">
        <w:rPr>
          <w:rFonts w:ascii="Times New Roman" w:hAnsi="Times New Roman" w:cs="Times New Roman"/>
          <w:bCs/>
          <w:sz w:val="24"/>
          <w:szCs w:val="24"/>
        </w:rPr>
        <w:t>bopæl</w:t>
      </w:r>
      <w:r w:rsidR="00F10580" w:rsidRPr="00F10580">
        <w:rPr>
          <w:rFonts w:ascii="Times New Roman" w:hAnsi="Times New Roman" w:cs="Times New Roman"/>
          <w:bCs/>
          <w:sz w:val="24"/>
          <w:szCs w:val="24"/>
        </w:rPr>
        <w:t xml:space="preserve"> eller sædvanligt opholdssted ikke fremgår af den foreviste billedlegitimation, skal der forevises supplerende dokumentation for, hvor personen har bopæl eller sædvanligt opholdssted</w:t>
      </w:r>
      <w:r w:rsidR="00F10580" w:rsidRPr="00F10580">
        <w:rPr>
          <w:rFonts w:ascii="Times New Roman" w:hAnsi="Times New Roman" w:cs="Times New Roman"/>
          <w:b/>
          <w:sz w:val="24"/>
          <w:szCs w:val="24"/>
        </w:rPr>
        <w:t>.</w:t>
      </w:r>
      <w:r w:rsidRPr="006161CE">
        <w:rPr>
          <w:rFonts w:ascii="Times New Roman" w:hAnsi="Times New Roman" w:cs="Times New Roman"/>
          <w:bCs/>
          <w:sz w:val="24"/>
          <w:szCs w:val="24"/>
        </w:rPr>
        <w:t>«</w:t>
      </w:r>
    </w:p>
    <w:p w14:paraId="765F0284" w14:textId="77777777" w:rsidR="00F05264" w:rsidRPr="006161CE" w:rsidRDefault="00F05264" w:rsidP="00F0526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38A822B2" w14:textId="7DADE42F" w:rsidR="00373C74" w:rsidRPr="006161CE" w:rsidRDefault="00373C74" w:rsidP="00F05264">
      <w:pPr>
        <w:pStyle w:val="Listeafsnit"/>
        <w:numPr>
          <w:ilvl w:val="0"/>
          <w:numId w:val="5"/>
        </w:numPr>
        <w:spacing w:after="0"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6161CE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6161CE">
        <w:rPr>
          <w:rFonts w:ascii="Times New Roman" w:hAnsi="Times New Roman" w:cs="Times New Roman"/>
          <w:bCs/>
          <w:i/>
          <w:iCs/>
          <w:sz w:val="24"/>
          <w:szCs w:val="24"/>
        </w:rPr>
        <w:t>§ 55, stk. 4,</w:t>
      </w:r>
      <w:r w:rsidRPr="006161CE">
        <w:rPr>
          <w:rFonts w:ascii="Times New Roman" w:hAnsi="Times New Roman" w:cs="Times New Roman"/>
          <w:bCs/>
          <w:sz w:val="24"/>
          <w:szCs w:val="24"/>
        </w:rPr>
        <w:t xml:space="preserve"> indsættes som </w:t>
      </w:r>
      <w:r w:rsidRPr="006161CE">
        <w:rPr>
          <w:rFonts w:ascii="Times New Roman" w:hAnsi="Times New Roman" w:cs="Times New Roman"/>
          <w:bCs/>
          <w:i/>
          <w:iCs/>
          <w:sz w:val="24"/>
          <w:szCs w:val="24"/>
        </w:rPr>
        <w:t>2. pkt.:</w:t>
      </w:r>
    </w:p>
    <w:p w14:paraId="2547E91F" w14:textId="09720BC2" w:rsidR="00373C74" w:rsidRDefault="00373C74" w:rsidP="00F05264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6161CE">
        <w:rPr>
          <w:rFonts w:ascii="Times New Roman" w:hAnsi="Times New Roman" w:cs="Times New Roman"/>
          <w:b/>
          <w:sz w:val="24"/>
          <w:szCs w:val="24"/>
        </w:rPr>
        <w:t>»</w:t>
      </w:r>
      <w:r w:rsidRPr="006161CE">
        <w:rPr>
          <w:rFonts w:ascii="Times New Roman" w:hAnsi="Times New Roman" w:cs="Times New Roman"/>
          <w:bCs/>
          <w:sz w:val="24"/>
          <w:szCs w:val="24"/>
        </w:rPr>
        <w:t xml:space="preserve">For ejendomme, hvor der ikke er blevet ansat en ejendomsværdi de seneste 4 år, kan salgsprisen anvendes som beregningsgrundlag.« </w:t>
      </w:r>
    </w:p>
    <w:p w14:paraId="2DF6CA2F" w14:textId="77777777" w:rsidR="00F05264" w:rsidRPr="006161CE" w:rsidRDefault="00F05264" w:rsidP="00F05264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CF6DFA" w14:textId="6C081D13" w:rsidR="00C10E01" w:rsidRDefault="00373C74" w:rsidP="00F05264">
      <w:pPr>
        <w:pStyle w:val="Listeafsnit"/>
        <w:numPr>
          <w:ilvl w:val="0"/>
          <w:numId w:val="5"/>
        </w:numPr>
        <w:spacing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6161CE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6161CE">
        <w:rPr>
          <w:rFonts w:ascii="Times New Roman" w:hAnsi="Times New Roman" w:cs="Times New Roman"/>
          <w:bCs/>
          <w:i/>
          <w:iCs/>
          <w:sz w:val="24"/>
          <w:szCs w:val="24"/>
        </w:rPr>
        <w:t>§ 55, stk. 5, 1. pkt.,</w:t>
      </w:r>
      <w:r w:rsidRPr="006161CE">
        <w:rPr>
          <w:rFonts w:ascii="Times New Roman" w:hAnsi="Times New Roman" w:cs="Times New Roman"/>
          <w:bCs/>
          <w:sz w:val="24"/>
          <w:szCs w:val="24"/>
        </w:rPr>
        <w:t xml:space="preserve"> ændres </w:t>
      </w:r>
      <w:r w:rsidRPr="006161CE">
        <w:rPr>
          <w:rFonts w:ascii="Times New Roman" w:hAnsi="Times New Roman" w:cs="Times New Roman"/>
          <w:b/>
          <w:sz w:val="24"/>
          <w:szCs w:val="24"/>
        </w:rPr>
        <w:t>»</w:t>
      </w:r>
      <w:r w:rsidRPr="006161CE">
        <w:rPr>
          <w:rFonts w:ascii="Times New Roman" w:hAnsi="Times New Roman" w:cs="Times New Roman"/>
          <w:bCs/>
          <w:sz w:val="24"/>
          <w:szCs w:val="24"/>
        </w:rPr>
        <w:t xml:space="preserve">stk. 4« til: </w:t>
      </w:r>
      <w:r w:rsidRPr="006161CE">
        <w:rPr>
          <w:rFonts w:ascii="Times New Roman" w:hAnsi="Times New Roman" w:cs="Times New Roman"/>
          <w:b/>
          <w:sz w:val="24"/>
          <w:szCs w:val="24"/>
        </w:rPr>
        <w:t>»</w:t>
      </w:r>
      <w:r w:rsidRPr="006161CE">
        <w:rPr>
          <w:rFonts w:ascii="Times New Roman" w:hAnsi="Times New Roman" w:cs="Times New Roman"/>
          <w:bCs/>
          <w:sz w:val="24"/>
          <w:szCs w:val="24"/>
        </w:rPr>
        <w:t>stk. 4, 1. pkt.</w:t>
      </w:r>
      <w:r w:rsidR="00103D9D">
        <w:rPr>
          <w:rFonts w:ascii="Times New Roman" w:hAnsi="Times New Roman" w:cs="Times New Roman"/>
          <w:bCs/>
          <w:sz w:val="24"/>
          <w:szCs w:val="24"/>
        </w:rPr>
        <w:t>,</w:t>
      </w:r>
      <w:r w:rsidRPr="006161CE">
        <w:rPr>
          <w:rFonts w:ascii="Times New Roman" w:hAnsi="Times New Roman" w:cs="Times New Roman"/>
          <w:bCs/>
          <w:sz w:val="24"/>
          <w:szCs w:val="24"/>
        </w:rPr>
        <w:t>«</w:t>
      </w:r>
      <w:r w:rsidR="00103D9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1DB36B3" w14:textId="77777777" w:rsidR="00F05264" w:rsidRPr="006161CE" w:rsidRDefault="00F05264" w:rsidP="00F05264">
      <w:pPr>
        <w:pStyle w:val="Listeafsnit"/>
        <w:spacing w:line="30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14:paraId="6B552F2E" w14:textId="6E10263F" w:rsidR="009C3DAB" w:rsidRPr="006161CE" w:rsidRDefault="009C3DAB" w:rsidP="00F05264">
      <w:pPr>
        <w:pStyle w:val="Listeafsnit"/>
        <w:numPr>
          <w:ilvl w:val="0"/>
          <w:numId w:val="5"/>
        </w:numPr>
        <w:spacing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6161CE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6161C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§ 133, stk. 1, </w:t>
      </w:r>
      <w:r w:rsidRPr="006161CE">
        <w:rPr>
          <w:rFonts w:ascii="Times New Roman" w:hAnsi="Times New Roman" w:cs="Times New Roman"/>
          <w:bCs/>
          <w:sz w:val="24"/>
          <w:szCs w:val="24"/>
        </w:rPr>
        <w:t>ændres »§</w:t>
      </w:r>
      <w:r w:rsidR="00103D9D">
        <w:rPr>
          <w:rFonts w:ascii="Times New Roman" w:hAnsi="Times New Roman" w:cs="Times New Roman"/>
          <w:bCs/>
          <w:sz w:val="24"/>
          <w:szCs w:val="24"/>
        </w:rPr>
        <w:t>§ 129 eller</w:t>
      </w:r>
      <w:r w:rsidRPr="006161CE">
        <w:rPr>
          <w:rFonts w:ascii="Times New Roman" w:hAnsi="Times New Roman" w:cs="Times New Roman"/>
          <w:bCs/>
          <w:sz w:val="24"/>
          <w:szCs w:val="24"/>
        </w:rPr>
        <w:t xml:space="preserve"> 130« til: »§</w:t>
      </w:r>
      <w:r w:rsidR="00103D9D">
        <w:rPr>
          <w:rFonts w:ascii="Times New Roman" w:hAnsi="Times New Roman" w:cs="Times New Roman"/>
          <w:bCs/>
          <w:sz w:val="24"/>
          <w:szCs w:val="24"/>
        </w:rPr>
        <w:t xml:space="preserve">§ 129 eller </w:t>
      </w:r>
      <w:r w:rsidRPr="006161CE">
        <w:rPr>
          <w:rFonts w:ascii="Times New Roman" w:hAnsi="Times New Roman" w:cs="Times New Roman"/>
          <w:bCs/>
          <w:sz w:val="24"/>
          <w:szCs w:val="24"/>
        </w:rPr>
        <w:t>131«.</w:t>
      </w:r>
    </w:p>
    <w:p w14:paraId="104B811F" w14:textId="77777777" w:rsidR="009C3DAB" w:rsidRPr="006161CE" w:rsidRDefault="009C3DAB" w:rsidP="00F05264">
      <w:pPr>
        <w:pStyle w:val="Listeafsnit"/>
        <w:spacing w:line="30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</w:p>
    <w:p w14:paraId="42D79A12" w14:textId="77777777" w:rsidR="001118E3" w:rsidRPr="006161CE" w:rsidRDefault="001118E3" w:rsidP="00F05264">
      <w:pPr>
        <w:spacing w:line="30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161C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§ 2</w:t>
      </w:r>
    </w:p>
    <w:p w14:paraId="6D651614" w14:textId="4C283B3B" w:rsidR="001118E3" w:rsidRDefault="001118E3" w:rsidP="00F05264">
      <w:pPr>
        <w:spacing w:line="30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161C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 Bekendtgørelsen træder i kraft den </w:t>
      </w:r>
      <w:r w:rsidR="009C3DAB" w:rsidRPr="006161CE">
        <w:rPr>
          <w:rFonts w:ascii="Times New Roman" w:eastAsia="Times New Roman" w:hAnsi="Times New Roman" w:cs="Times New Roman"/>
          <w:sz w:val="24"/>
          <w:szCs w:val="24"/>
          <w:lang w:eastAsia="da-DK"/>
        </w:rPr>
        <w:t>[1. oktober 2024]</w:t>
      </w:r>
      <w:r w:rsidRPr="006161C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396728D6" w14:textId="77777777" w:rsidR="00212900" w:rsidRPr="006161CE" w:rsidRDefault="00212900" w:rsidP="00F05264">
      <w:pPr>
        <w:spacing w:line="30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0E4F243" w14:textId="59B79D25" w:rsidR="009C3DAB" w:rsidRDefault="006161CE" w:rsidP="006161CE">
      <w:pPr>
        <w:spacing w:line="300" w:lineRule="auto"/>
        <w:ind w:firstLine="238"/>
        <w:jc w:val="center"/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9F9FB"/>
        </w:rPr>
      </w:pPr>
      <w:r w:rsidRPr="006161CE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9F9FB"/>
        </w:rPr>
        <w:t xml:space="preserve">Skatteministeriet, den </w:t>
      </w:r>
    </w:p>
    <w:p w14:paraId="2A7F09B1" w14:textId="77777777" w:rsidR="00F05264" w:rsidRPr="006161CE" w:rsidRDefault="00F05264" w:rsidP="006161CE">
      <w:pPr>
        <w:spacing w:line="300" w:lineRule="auto"/>
        <w:ind w:firstLine="238"/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547D3E5" w14:textId="1C162D14" w:rsidR="002A2A0F" w:rsidRPr="006161CE" w:rsidRDefault="009C3DAB" w:rsidP="00F05264">
      <w:pPr>
        <w:spacing w:after="0" w:line="300" w:lineRule="auto"/>
        <w:ind w:firstLine="238"/>
        <w:jc w:val="center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sz w:val="24"/>
          <w:szCs w:val="24"/>
        </w:rPr>
        <w:t>Jeppe Bruus</w:t>
      </w:r>
    </w:p>
    <w:p w14:paraId="63E6B847" w14:textId="62882592" w:rsidR="002A2A0F" w:rsidRPr="006161CE" w:rsidRDefault="006161CE" w:rsidP="00F05264">
      <w:pPr>
        <w:spacing w:after="0" w:line="300" w:lineRule="auto"/>
        <w:ind w:firstLine="238"/>
        <w:jc w:val="right"/>
        <w:rPr>
          <w:rFonts w:ascii="Times New Roman" w:hAnsi="Times New Roman" w:cs="Times New Roman"/>
          <w:sz w:val="24"/>
          <w:szCs w:val="24"/>
        </w:rPr>
      </w:pPr>
      <w:r w:rsidRPr="006161CE">
        <w:rPr>
          <w:rFonts w:ascii="Times New Roman" w:hAnsi="Times New Roman" w:cs="Times New Roman"/>
          <w:sz w:val="24"/>
          <w:szCs w:val="24"/>
        </w:rPr>
        <w:t>/</w:t>
      </w:r>
      <w:r w:rsidR="009C3DAB" w:rsidRPr="006161CE">
        <w:rPr>
          <w:rFonts w:ascii="Times New Roman" w:hAnsi="Times New Roman" w:cs="Times New Roman"/>
          <w:sz w:val="24"/>
          <w:szCs w:val="24"/>
        </w:rPr>
        <w:t>Jeanette Rose Hansen</w:t>
      </w:r>
    </w:p>
    <w:sectPr w:rsidR="002A2A0F" w:rsidRPr="006161C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26E03" w14:textId="77777777" w:rsidR="009A3DC8" w:rsidRDefault="009A3DC8" w:rsidP="002E3F70">
      <w:pPr>
        <w:spacing w:after="0" w:line="240" w:lineRule="auto"/>
      </w:pPr>
      <w:r>
        <w:separator/>
      </w:r>
    </w:p>
  </w:endnote>
  <w:endnote w:type="continuationSeparator" w:id="0">
    <w:p w14:paraId="02D8754F" w14:textId="77777777" w:rsidR="009A3DC8" w:rsidRDefault="009A3DC8" w:rsidP="002E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2815" w14:textId="77777777" w:rsidR="009A3DC8" w:rsidRDefault="009A3DC8" w:rsidP="002E3F70">
      <w:pPr>
        <w:spacing w:after="0" w:line="240" w:lineRule="auto"/>
      </w:pPr>
      <w:r>
        <w:separator/>
      </w:r>
    </w:p>
  </w:footnote>
  <w:footnote w:type="continuationSeparator" w:id="0">
    <w:p w14:paraId="40CA3CE8" w14:textId="77777777" w:rsidR="009A3DC8" w:rsidRDefault="009A3DC8" w:rsidP="002E3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33535"/>
    <w:multiLevelType w:val="hybridMultilevel"/>
    <w:tmpl w:val="981AB28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5706F"/>
    <w:multiLevelType w:val="hybridMultilevel"/>
    <w:tmpl w:val="3586E134"/>
    <w:lvl w:ilvl="0" w:tplc="4CA4BB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4D09"/>
    <w:multiLevelType w:val="hybridMultilevel"/>
    <w:tmpl w:val="29949FCA"/>
    <w:lvl w:ilvl="0" w:tplc="9B128C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C6E40"/>
    <w:multiLevelType w:val="hybridMultilevel"/>
    <w:tmpl w:val="10ACD83A"/>
    <w:lvl w:ilvl="0" w:tplc="CABC45F4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318" w:hanging="360"/>
      </w:pPr>
    </w:lvl>
    <w:lvl w:ilvl="2" w:tplc="0406001B" w:tentative="1">
      <w:start w:val="1"/>
      <w:numFmt w:val="lowerRoman"/>
      <w:lvlText w:val="%3."/>
      <w:lvlJc w:val="right"/>
      <w:pPr>
        <w:ind w:left="2038" w:hanging="180"/>
      </w:pPr>
    </w:lvl>
    <w:lvl w:ilvl="3" w:tplc="0406000F" w:tentative="1">
      <w:start w:val="1"/>
      <w:numFmt w:val="decimal"/>
      <w:lvlText w:val="%4."/>
      <w:lvlJc w:val="left"/>
      <w:pPr>
        <w:ind w:left="2758" w:hanging="360"/>
      </w:pPr>
    </w:lvl>
    <w:lvl w:ilvl="4" w:tplc="04060019" w:tentative="1">
      <w:start w:val="1"/>
      <w:numFmt w:val="lowerLetter"/>
      <w:lvlText w:val="%5."/>
      <w:lvlJc w:val="left"/>
      <w:pPr>
        <w:ind w:left="3478" w:hanging="360"/>
      </w:pPr>
    </w:lvl>
    <w:lvl w:ilvl="5" w:tplc="0406001B" w:tentative="1">
      <w:start w:val="1"/>
      <w:numFmt w:val="lowerRoman"/>
      <w:lvlText w:val="%6."/>
      <w:lvlJc w:val="right"/>
      <w:pPr>
        <w:ind w:left="4198" w:hanging="180"/>
      </w:pPr>
    </w:lvl>
    <w:lvl w:ilvl="6" w:tplc="0406000F" w:tentative="1">
      <w:start w:val="1"/>
      <w:numFmt w:val="decimal"/>
      <w:lvlText w:val="%7."/>
      <w:lvlJc w:val="left"/>
      <w:pPr>
        <w:ind w:left="4918" w:hanging="360"/>
      </w:pPr>
    </w:lvl>
    <w:lvl w:ilvl="7" w:tplc="04060019" w:tentative="1">
      <w:start w:val="1"/>
      <w:numFmt w:val="lowerLetter"/>
      <w:lvlText w:val="%8."/>
      <w:lvlJc w:val="left"/>
      <w:pPr>
        <w:ind w:left="5638" w:hanging="360"/>
      </w:pPr>
    </w:lvl>
    <w:lvl w:ilvl="8" w:tplc="0406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4AD627F5"/>
    <w:multiLevelType w:val="hybridMultilevel"/>
    <w:tmpl w:val="2DD0F542"/>
    <w:lvl w:ilvl="0" w:tplc="1526C6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347267">
    <w:abstractNumId w:val="0"/>
  </w:num>
  <w:num w:numId="2" w16cid:durableId="738403666">
    <w:abstractNumId w:val="3"/>
  </w:num>
  <w:num w:numId="3" w16cid:durableId="1034884097">
    <w:abstractNumId w:val="2"/>
  </w:num>
  <w:num w:numId="4" w16cid:durableId="233010484">
    <w:abstractNumId w:val="4"/>
  </w:num>
  <w:num w:numId="5" w16cid:durableId="701398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E1"/>
    <w:rsid w:val="000826E1"/>
    <w:rsid w:val="000A37B6"/>
    <w:rsid w:val="000F2342"/>
    <w:rsid w:val="00103D9D"/>
    <w:rsid w:val="001118E3"/>
    <w:rsid w:val="001628AF"/>
    <w:rsid w:val="0016495A"/>
    <w:rsid w:val="001B2A6B"/>
    <w:rsid w:val="001E2631"/>
    <w:rsid w:val="00212900"/>
    <w:rsid w:val="002A2A0F"/>
    <w:rsid w:val="002E3F70"/>
    <w:rsid w:val="0030096D"/>
    <w:rsid w:val="00302934"/>
    <w:rsid w:val="00323EF1"/>
    <w:rsid w:val="00373C74"/>
    <w:rsid w:val="003A03B7"/>
    <w:rsid w:val="00466DDA"/>
    <w:rsid w:val="00470CF8"/>
    <w:rsid w:val="0047180E"/>
    <w:rsid w:val="00482739"/>
    <w:rsid w:val="004B44E4"/>
    <w:rsid w:val="00504F6B"/>
    <w:rsid w:val="0051461F"/>
    <w:rsid w:val="00570FCE"/>
    <w:rsid w:val="0057692A"/>
    <w:rsid w:val="005852E5"/>
    <w:rsid w:val="005E108D"/>
    <w:rsid w:val="006161CE"/>
    <w:rsid w:val="006B2003"/>
    <w:rsid w:val="006C3333"/>
    <w:rsid w:val="006C3837"/>
    <w:rsid w:val="006E712C"/>
    <w:rsid w:val="0073010B"/>
    <w:rsid w:val="00777161"/>
    <w:rsid w:val="007B1107"/>
    <w:rsid w:val="007B6908"/>
    <w:rsid w:val="008732F9"/>
    <w:rsid w:val="008A1D65"/>
    <w:rsid w:val="008D5045"/>
    <w:rsid w:val="008E6E62"/>
    <w:rsid w:val="009A3DC8"/>
    <w:rsid w:val="009B2823"/>
    <w:rsid w:val="009C06BD"/>
    <w:rsid w:val="009C3DAB"/>
    <w:rsid w:val="009F2518"/>
    <w:rsid w:val="00A6030D"/>
    <w:rsid w:val="00AD28D5"/>
    <w:rsid w:val="00AD3976"/>
    <w:rsid w:val="00AE2EF5"/>
    <w:rsid w:val="00B13016"/>
    <w:rsid w:val="00B26621"/>
    <w:rsid w:val="00B8775D"/>
    <w:rsid w:val="00BA32BA"/>
    <w:rsid w:val="00C10E01"/>
    <w:rsid w:val="00C6739E"/>
    <w:rsid w:val="00CC33CF"/>
    <w:rsid w:val="00CF33A1"/>
    <w:rsid w:val="00DA6961"/>
    <w:rsid w:val="00DA739A"/>
    <w:rsid w:val="00DC45A5"/>
    <w:rsid w:val="00E06559"/>
    <w:rsid w:val="00E12583"/>
    <w:rsid w:val="00E14DE1"/>
    <w:rsid w:val="00E20C55"/>
    <w:rsid w:val="00E44902"/>
    <w:rsid w:val="00E57729"/>
    <w:rsid w:val="00E63B99"/>
    <w:rsid w:val="00E71E0A"/>
    <w:rsid w:val="00E86DEE"/>
    <w:rsid w:val="00EB0922"/>
    <w:rsid w:val="00F05264"/>
    <w:rsid w:val="00F10580"/>
    <w:rsid w:val="00F112EF"/>
    <w:rsid w:val="00F44360"/>
    <w:rsid w:val="00F84DE6"/>
    <w:rsid w:val="00F90A76"/>
    <w:rsid w:val="00FB0440"/>
    <w:rsid w:val="00FC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849F1"/>
  <w15:chartTrackingRefBased/>
  <w15:docId w15:val="{A74FFDDB-ED3D-41AA-AD74-AA62C389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A3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CC33C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C33C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C33C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33C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33C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33CF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CC33C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6E712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E712C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6E712C"/>
    <w:rPr>
      <w:color w:val="954F72" w:themeColor="followedHyperlink"/>
      <w:u w:val="single"/>
    </w:rPr>
  </w:style>
  <w:style w:type="character" w:styleId="Fremhv">
    <w:name w:val="Emphasis"/>
    <w:basedOn w:val="Standardskrifttypeiafsnit"/>
    <w:uiPriority w:val="20"/>
    <w:qFormat/>
    <w:rsid w:val="001118E3"/>
    <w:rPr>
      <w:i/>
      <w:iCs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2E3F70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E3F70"/>
    <w:rPr>
      <w:sz w:val="20"/>
      <w:szCs w:val="20"/>
    </w:rPr>
  </w:style>
  <w:style w:type="character" w:styleId="Slutnotehenvisning">
    <w:name w:val="endnote reference"/>
    <w:basedOn w:val="Standardskrifttypeiafsnit"/>
    <w:uiPriority w:val="99"/>
    <w:semiHidden/>
    <w:unhideWhenUsed/>
    <w:rsid w:val="002E3F70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2E3F7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E3F7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2E3F70"/>
    <w:rPr>
      <w:vertAlign w:val="superscript"/>
    </w:rPr>
  </w:style>
  <w:style w:type="paragraph" w:styleId="Sidehoved">
    <w:name w:val="header"/>
    <w:basedOn w:val="Normal"/>
    <w:link w:val="SidehovedTegn"/>
    <w:uiPriority w:val="99"/>
    <w:unhideWhenUsed/>
    <w:rsid w:val="009F25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2518"/>
  </w:style>
  <w:style w:type="paragraph" w:styleId="Sidefod">
    <w:name w:val="footer"/>
    <w:basedOn w:val="Normal"/>
    <w:link w:val="SidefodTegn"/>
    <w:uiPriority w:val="99"/>
    <w:unhideWhenUsed/>
    <w:rsid w:val="009F25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2518"/>
  </w:style>
  <w:style w:type="character" w:customStyle="1" w:styleId="Overskrift1Tegn">
    <w:name w:val="Overskrift 1 Tegn"/>
    <w:basedOn w:val="Standardskrifttypeiafsnit"/>
    <w:link w:val="Overskrift1"/>
    <w:uiPriority w:val="9"/>
    <w:rsid w:val="00BA32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DA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E57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7698\AppData\Local\cBrain\F2\.tmp\6934439203484fac9a52e7b48e93df5b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083F2-6DAA-4103-87A7-A903642D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6934439203484fac9a52e7b48e93df5b</Template>
  <TotalTime>1</TotalTime>
  <Pages>2</Pages>
  <Words>270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ændringsbekendtgørelse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ændringsbekendtgørelse</dc:title>
  <dc:subject/>
  <dc:creator>Lone Lau-Jensen</dc:creator>
  <cp:keywords/>
  <dc:description/>
  <cp:lastModifiedBy>Lone Lau-Jensen</cp:lastModifiedBy>
  <cp:revision>2</cp:revision>
  <dcterms:created xsi:type="dcterms:W3CDTF">2024-08-28T10:55:00Z</dcterms:created>
  <dcterms:modified xsi:type="dcterms:W3CDTF">2024-08-28T10:55:00Z</dcterms:modified>
</cp:coreProperties>
</file>