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055"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14:paraId="242D3194" w14:textId="77777777" w:rsidTr="00F96AF9">
        <w:trPr>
          <w:cantSplit/>
          <w:trHeight w:val="2600"/>
        </w:trPr>
        <w:tc>
          <w:tcPr>
            <w:tcW w:w="7116" w:type="dxa"/>
          </w:tcPr>
          <w:p w14:paraId="1DAE2631" w14:textId="77777777" w:rsidR="00953410" w:rsidRPr="006979FC" w:rsidRDefault="00953410" w:rsidP="00F96AF9">
            <w:pPr>
              <w:ind w:right="-1191"/>
            </w:pPr>
          </w:p>
        </w:tc>
        <w:tc>
          <w:tcPr>
            <w:tcW w:w="1939" w:type="dxa"/>
          </w:tcPr>
          <w:p w14:paraId="3CFBD528" w14:textId="77777777" w:rsidR="00953410" w:rsidRPr="006979FC" w:rsidRDefault="00953410" w:rsidP="00F96AF9">
            <w:pPr>
              <w:ind w:right="-1191"/>
            </w:pPr>
          </w:p>
        </w:tc>
      </w:tr>
      <w:tr w:rsidR="00953410" w:rsidRPr="006979FC" w14:paraId="6D60BFD3" w14:textId="77777777" w:rsidTr="00F96AF9">
        <w:trPr>
          <w:cantSplit/>
        </w:trPr>
        <w:tc>
          <w:tcPr>
            <w:tcW w:w="7116" w:type="dxa"/>
          </w:tcPr>
          <w:p w14:paraId="74D3D0A1" w14:textId="77777777" w:rsidR="00F96AF9" w:rsidRPr="00CE0E80" w:rsidRDefault="00F96AF9" w:rsidP="00B403C5">
            <w:pPr>
              <w:pStyle w:val="Overskrift1"/>
            </w:pPr>
            <w:r w:rsidRPr="00E343E5">
              <w:t>Høringsnotat: Ekstern høring vedr. bekendtgørelse om kvalitetskrav til miljømålinger</w:t>
            </w:r>
            <w:r>
              <w:t xml:space="preserve"> </w:t>
            </w:r>
          </w:p>
          <w:p w14:paraId="7CF7B6D5" w14:textId="77777777" w:rsidR="00953410" w:rsidRPr="006979FC" w:rsidRDefault="00953410" w:rsidP="00F96AF9">
            <w:pPr>
              <w:ind w:right="-1191"/>
            </w:pPr>
          </w:p>
        </w:tc>
        <w:tc>
          <w:tcPr>
            <w:tcW w:w="1939" w:type="dxa"/>
          </w:tcPr>
          <w:p w14:paraId="462DFD71" w14:textId="21809B2E" w:rsidR="00953410" w:rsidRPr="006979FC" w:rsidRDefault="00953410" w:rsidP="00F96AF9">
            <w:pPr>
              <w:ind w:right="-1191"/>
            </w:pPr>
          </w:p>
        </w:tc>
      </w:tr>
    </w:tbl>
    <w:p w14:paraId="38691AC5" w14:textId="047D476A" w:rsidR="00F96AF9" w:rsidRDefault="00001E87" w:rsidP="00F96AF9">
      <w:pPr>
        <w:pStyle w:val="Overskrift1"/>
        <w:ind w:right="-1191"/>
        <w:rPr>
          <w:b w:val="0"/>
        </w:rPr>
      </w:pPr>
      <w:r>
        <w:rPr>
          <w:b w:val="0"/>
        </w:rPr>
        <w:t xml:space="preserve">Dette høringsnotat behandler eksterne høringssvar, der vedrører </w:t>
      </w:r>
      <w:r w:rsidRPr="008432EE">
        <w:rPr>
          <w:b w:val="0"/>
        </w:rPr>
        <w:t>bekendtgørelse om kvalitetskrav til miljømålinger (analysekvalitetsbekendtgørelsen)</w:t>
      </w:r>
      <w:r>
        <w:rPr>
          <w:b w:val="0"/>
        </w:rPr>
        <w:t>.</w:t>
      </w:r>
      <w:r w:rsidRPr="008432EE">
        <w:rPr>
          <w:b w:val="0"/>
        </w:rPr>
        <w:t xml:space="preserve"> </w:t>
      </w:r>
      <w:r w:rsidR="00F96AF9" w:rsidRPr="008432EE">
        <w:rPr>
          <w:b w:val="0"/>
        </w:rPr>
        <w:t>Udkast til ny</w:t>
      </w:r>
      <w:r>
        <w:rPr>
          <w:b w:val="0"/>
        </w:rPr>
        <w:t xml:space="preserve"> analysekvalitetsbekendtgørelse </w:t>
      </w:r>
      <w:r w:rsidR="00F96AF9" w:rsidRPr="008432EE">
        <w:rPr>
          <w:b w:val="0"/>
        </w:rPr>
        <w:t xml:space="preserve">har været i ekstern høring d. </w:t>
      </w:r>
      <w:r w:rsidR="00F96AF9">
        <w:rPr>
          <w:b w:val="0"/>
        </w:rPr>
        <w:t>23</w:t>
      </w:r>
      <w:r w:rsidR="00F96AF9" w:rsidRPr="008432EE">
        <w:rPr>
          <w:b w:val="0"/>
        </w:rPr>
        <w:t xml:space="preserve">. </w:t>
      </w:r>
      <w:r w:rsidR="00F96AF9">
        <w:rPr>
          <w:b w:val="0"/>
        </w:rPr>
        <w:t>april – 21</w:t>
      </w:r>
      <w:r w:rsidR="00F96AF9" w:rsidRPr="008432EE">
        <w:rPr>
          <w:b w:val="0"/>
        </w:rPr>
        <w:t xml:space="preserve">. </w:t>
      </w:r>
      <w:r w:rsidR="00F96AF9">
        <w:rPr>
          <w:b w:val="0"/>
        </w:rPr>
        <w:t>maj</w:t>
      </w:r>
      <w:r w:rsidR="00F96AF9" w:rsidRPr="008432EE">
        <w:rPr>
          <w:b w:val="0"/>
        </w:rPr>
        <w:t xml:space="preserve"> 202</w:t>
      </w:r>
      <w:r w:rsidR="00F96AF9">
        <w:rPr>
          <w:b w:val="0"/>
        </w:rPr>
        <w:t>4</w:t>
      </w:r>
      <w:r>
        <w:rPr>
          <w:b w:val="0"/>
        </w:rPr>
        <w:t xml:space="preserve"> sammen med </w:t>
      </w:r>
      <w:r w:rsidRPr="008432EE">
        <w:rPr>
          <w:b w:val="0"/>
        </w:rPr>
        <w:t>bekendtgørelse om vandkvalitet og tilsyn med vandforsyningsanlæg (drikkevandsbekendtgørelsen)</w:t>
      </w:r>
      <w:r w:rsidR="00F96AF9" w:rsidRPr="008432EE">
        <w:rPr>
          <w:b w:val="0"/>
        </w:rPr>
        <w:t xml:space="preserve">. </w:t>
      </w:r>
      <w:r w:rsidR="002D0EDB">
        <w:rPr>
          <w:b w:val="0"/>
        </w:rPr>
        <w:t>Ændringer som konsekvens af denne høring er markeret med gult i bilag 1</w:t>
      </w:r>
      <w:r w:rsidR="00973960">
        <w:rPr>
          <w:b w:val="0"/>
        </w:rPr>
        <w:t xml:space="preserve"> og i nærværende notat</w:t>
      </w:r>
      <w:r w:rsidR="002D0EDB">
        <w:rPr>
          <w:b w:val="0"/>
        </w:rPr>
        <w:t>.</w:t>
      </w:r>
      <w:r w:rsidR="00B403C5">
        <w:rPr>
          <w:b w:val="0"/>
        </w:rPr>
        <w:t xml:space="preserve"> Bekendtgørelsen forventes at træde i kraft d. 1. juli med de tilføjede ændringer.</w:t>
      </w:r>
    </w:p>
    <w:p w14:paraId="3334C079" w14:textId="77777777" w:rsidR="00F96AF9" w:rsidRPr="008432EE" w:rsidRDefault="00F96AF9" w:rsidP="00F96AF9">
      <w:pPr>
        <w:pStyle w:val="Overskrift1"/>
        <w:ind w:right="-1191"/>
        <w:rPr>
          <w:b w:val="0"/>
        </w:rPr>
      </w:pPr>
    </w:p>
    <w:p w14:paraId="09C8B1AF" w14:textId="5CD879F7" w:rsidR="00F96AF9" w:rsidRDefault="00F96AF9" w:rsidP="00F96AF9">
      <w:pPr>
        <w:pStyle w:val="Overskrift1"/>
        <w:ind w:right="-1191"/>
        <w:rPr>
          <w:b w:val="0"/>
        </w:rPr>
      </w:pPr>
      <w:r w:rsidRPr="008432EE">
        <w:rPr>
          <w:b w:val="0"/>
        </w:rPr>
        <w:t xml:space="preserve">Der er modtaget </w:t>
      </w:r>
      <w:r w:rsidR="00195682">
        <w:rPr>
          <w:b w:val="0"/>
        </w:rPr>
        <w:t>8</w:t>
      </w:r>
      <w:r>
        <w:rPr>
          <w:b w:val="0"/>
        </w:rPr>
        <w:t xml:space="preserve"> eksterne høringssvar:</w:t>
      </w:r>
    </w:p>
    <w:p w14:paraId="7355443D" w14:textId="77777777" w:rsidR="00F96AF9" w:rsidRDefault="00F96AF9" w:rsidP="00F96AF9">
      <w:pPr>
        <w:ind w:right="-1191"/>
      </w:pPr>
    </w:p>
    <w:p w14:paraId="2927C4CF" w14:textId="5B40B118" w:rsidR="00F96AF9" w:rsidRDefault="00F96AF9" w:rsidP="00F96AF9">
      <w:pPr>
        <w:pStyle w:val="Listeafsnit"/>
        <w:numPr>
          <w:ilvl w:val="0"/>
          <w:numId w:val="15"/>
        </w:numPr>
        <w:ind w:right="-1191"/>
        <w:rPr>
          <w:b/>
        </w:rPr>
      </w:pPr>
      <w:r>
        <w:rPr>
          <w:b/>
        </w:rPr>
        <w:t>HOFOR</w:t>
      </w:r>
    </w:p>
    <w:p w14:paraId="5BD6C9BF" w14:textId="6A8D5263" w:rsidR="00196805" w:rsidRPr="00E560E9" w:rsidRDefault="00196805" w:rsidP="00196805">
      <w:pPr>
        <w:pStyle w:val="Listeafsnit"/>
        <w:ind w:right="-1191"/>
        <w:rPr>
          <w:b/>
        </w:rPr>
      </w:pPr>
      <w:r>
        <w:rPr>
          <w:i/>
        </w:rPr>
        <w:t>HOFOR</w:t>
      </w:r>
      <w:r w:rsidRPr="00C947AF">
        <w:rPr>
          <w:i/>
        </w:rPr>
        <w:t xml:space="preserve"> har nedenstående høringssvar:</w:t>
      </w:r>
    </w:p>
    <w:p w14:paraId="75B5FB5C" w14:textId="77777777" w:rsidR="00F96AF9" w:rsidRDefault="00F96AF9" w:rsidP="00F96AF9">
      <w:pPr>
        <w:pStyle w:val="Listeafsnit"/>
        <w:numPr>
          <w:ilvl w:val="0"/>
          <w:numId w:val="16"/>
        </w:numPr>
        <w:ind w:right="-1191"/>
      </w:pPr>
      <w:r>
        <w:t>C Krav til ledningsevne: Maximum krav til ledningsevne og minimumskrav til ledningsevne bør angives ved den samme temperatur. Enten ved 20 grader eller ved 25 grader.</w:t>
      </w:r>
    </w:p>
    <w:p w14:paraId="6178E12C" w14:textId="77777777" w:rsidR="00F96AF9" w:rsidRDefault="00F96AF9" w:rsidP="00F96AF9">
      <w:pPr>
        <w:pStyle w:val="Listeafsnit"/>
        <w:numPr>
          <w:ilvl w:val="0"/>
          <w:numId w:val="16"/>
        </w:numPr>
        <w:ind w:right="-1191"/>
      </w:pPr>
      <w:r>
        <w:t xml:space="preserve">C2 Hvad er årsagen til, at der ikke længere accepteres forhøjet ammoniumindhold ved indkøring af nye filtre? Skyldes det at det er en indikatorparameter nu, og at man ved indkøring af nye filtre er i proces med at nedbringe ammoniumkoncentrationen? </w:t>
      </w:r>
    </w:p>
    <w:p w14:paraId="75632C6C" w14:textId="77777777" w:rsidR="00F96AF9" w:rsidRDefault="00F96AF9" w:rsidP="00F96AF9">
      <w:pPr>
        <w:pStyle w:val="Listeafsnit"/>
        <w:ind w:left="1080" w:right="-1191"/>
      </w:pPr>
      <w:r>
        <w:t xml:space="preserve">Vil man ved desinfektion med </w:t>
      </w:r>
      <w:proofErr w:type="spellStart"/>
      <w:r>
        <w:t>chloramin</w:t>
      </w:r>
      <w:proofErr w:type="spellEnd"/>
      <w:r>
        <w:t xml:space="preserve"> kunne acceptere en forhøjet værdi for indhold af ammonium?</w:t>
      </w:r>
    </w:p>
    <w:p w14:paraId="78AC2A76" w14:textId="77777777" w:rsidR="00F96AF9" w:rsidRDefault="00F96AF9" w:rsidP="00F96AF9">
      <w:pPr>
        <w:pStyle w:val="Listeafsnit"/>
        <w:numPr>
          <w:ilvl w:val="0"/>
          <w:numId w:val="16"/>
        </w:numPr>
        <w:ind w:right="-1191"/>
      </w:pPr>
      <w:r>
        <w:t xml:space="preserve">Bilag 1b: Stoffet </w:t>
      </w:r>
      <w:proofErr w:type="gramStart"/>
      <w:r>
        <w:t>N,N</w:t>
      </w:r>
      <w:proofErr w:type="gramEnd"/>
      <w:r>
        <w:t>-</w:t>
      </w:r>
      <w:proofErr w:type="spellStart"/>
      <w:r>
        <w:t>dimethylsulfamidsyre</w:t>
      </w:r>
      <w:proofErr w:type="spellEnd"/>
      <w:r>
        <w:t xml:space="preserve"> (DMSA) er nu inkluderet på bilaget med meget lav kravværdi. Dette har været en udfordring for vores eksterne analyselaboratorium at nå en tilstrækkelig lav detektionsgrænse på denne parameter. Når parameteren medtages med så lav kravværdi, er det </w:t>
      </w:r>
      <w:proofErr w:type="spellStart"/>
      <w:r>
        <w:t>HOFORs</w:t>
      </w:r>
      <w:proofErr w:type="spellEnd"/>
      <w:r>
        <w:t xml:space="preserve"> forhåbning, at Miljøstyrelsen er klar med en hurtig tilbagemelding, såfremt der ses en overskridelse af kravværdien.</w:t>
      </w:r>
    </w:p>
    <w:p w14:paraId="7FE5DB30" w14:textId="77777777" w:rsidR="00F96AF9" w:rsidRDefault="00F96AF9" w:rsidP="00F96AF9">
      <w:pPr>
        <w:pStyle w:val="Listeafsnit"/>
        <w:numPr>
          <w:ilvl w:val="0"/>
          <w:numId w:val="16"/>
        </w:numPr>
        <w:ind w:right="-1191"/>
      </w:pPr>
      <w:r>
        <w:t xml:space="preserve">Hvor Sum af PFAS er defineret ved en note 19, der beskriver </w:t>
      </w:r>
      <w:proofErr w:type="spellStart"/>
      <w:r>
        <w:t>Cas</w:t>
      </w:r>
      <w:proofErr w:type="spellEnd"/>
      <w:r>
        <w:t xml:space="preserve"> numre og at sum af PFAS omfatter både lineære og forgrenede stoffer mangler denne note for parameteren: Sum af PFOA, PFOS, PFNA og </w:t>
      </w:r>
      <w:proofErr w:type="spellStart"/>
      <w:r>
        <w:t>PFHxS</w:t>
      </w:r>
      <w:proofErr w:type="spellEnd"/>
      <w:r>
        <w:t xml:space="preserve">. Det bør her også defineres, om der er tale om både lineære og forgrenede stoffer og tilhørende </w:t>
      </w:r>
      <w:proofErr w:type="spellStart"/>
      <w:r>
        <w:t>Cas</w:t>
      </w:r>
      <w:proofErr w:type="spellEnd"/>
      <w:r>
        <w:t xml:space="preserve"> numre. HOFOR finder, at det er vigtigt, at alle summer med kvalitetskrav tilknyttet kan afrapporteres direkte med egen stankode, så de uden problemer kan overføres elektronisk mellem laboratorierne og 3. parts systemer samt at denne sum er </w:t>
      </w:r>
      <w:r>
        <w:lastRenderedPageBreak/>
        <w:t xml:space="preserve">entydigt defineret, så der eksempelvis ikke er tvivl om, hvorvidt der er tale om en sum af lineære eller sum af </w:t>
      </w:r>
      <w:proofErr w:type="spellStart"/>
      <w:r>
        <w:t>lineære+forgrenede</w:t>
      </w:r>
      <w:proofErr w:type="spellEnd"/>
      <w:r>
        <w:t xml:space="preserve"> stoffer.</w:t>
      </w:r>
    </w:p>
    <w:p w14:paraId="727935E0" w14:textId="3024715C" w:rsidR="00F96AF9" w:rsidRDefault="00F96AF9" w:rsidP="0072218F">
      <w:pPr>
        <w:pStyle w:val="Listeafsnit"/>
        <w:numPr>
          <w:ilvl w:val="0"/>
          <w:numId w:val="16"/>
        </w:numPr>
        <w:ind w:right="-1191"/>
      </w:pPr>
      <w:r>
        <w:t xml:space="preserve">Bilag 1c Indikatorparametrenes kravværdier bør fremgå særskilt af Parameterlisten.dk, så der kan skelnes mellem drikkevandskrav og krav til indikatorparametre. Det bør i en kommende vejledning tydeligt kunne læses, hvilke der reelt tænkes at kunne påvirke menneskers sundhed (farve vs. </w:t>
      </w:r>
      <w:proofErr w:type="spellStart"/>
      <w:r>
        <w:t>kimtal</w:t>
      </w:r>
      <w:proofErr w:type="spellEnd"/>
      <w:r>
        <w:t>).</w:t>
      </w:r>
    </w:p>
    <w:p w14:paraId="2F14CF82" w14:textId="77777777" w:rsidR="00F96AF9" w:rsidRDefault="00F96AF9" w:rsidP="00F96AF9">
      <w:pPr>
        <w:pStyle w:val="Listeafsnit"/>
        <w:numPr>
          <w:ilvl w:val="0"/>
          <w:numId w:val="16"/>
        </w:numPr>
        <w:ind w:right="-1191"/>
      </w:pPr>
      <w:r>
        <w:t xml:space="preserve">Bilag 1d: forsigtighedshensyn og æstetiske hensyn: Foruden </w:t>
      </w:r>
      <w:proofErr w:type="spellStart"/>
      <w:r>
        <w:t>saccharin</w:t>
      </w:r>
      <w:proofErr w:type="spellEnd"/>
      <w:r>
        <w:t xml:space="preserve"> bør stofferne </w:t>
      </w:r>
      <w:proofErr w:type="spellStart"/>
      <w:r>
        <w:t>oxaminsyre</w:t>
      </w:r>
      <w:proofErr w:type="spellEnd"/>
      <w:r>
        <w:t xml:space="preserve"> og ravsyre også fremgå som stoffer uden bekymring, jf. Fagligt notat om resultater af </w:t>
      </w:r>
      <w:proofErr w:type="spellStart"/>
      <w:r>
        <w:t>suspect</w:t>
      </w:r>
      <w:proofErr w:type="spellEnd"/>
      <w:r>
        <w:t xml:space="preserve"> screening for pesticidstoffer i grundvand 2022, Miljøstyrelsen 25. august 2023. Ligesom der bør være en tilgængelig liste hos Miljøstyrelsen over, hvilke stoffer der løbende er vurderet som uden bekymring.</w:t>
      </w:r>
    </w:p>
    <w:p w14:paraId="4C696EE4" w14:textId="77777777" w:rsidR="00F96AF9" w:rsidRDefault="00F96AF9" w:rsidP="00F96AF9">
      <w:pPr>
        <w:pStyle w:val="Listeafsnit"/>
        <w:numPr>
          <w:ilvl w:val="0"/>
          <w:numId w:val="16"/>
        </w:numPr>
        <w:ind w:right="-1191"/>
      </w:pPr>
      <w:r>
        <w:t xml:space="preserve">Bilag 4. Hvorledes forstås </w:t>
      </w:r>
      <w:proofErr w:type="spellStart"/>
      <w:r>
        <w:t>råvand</w:t>
      </w:r>
      <w:proofErr w:type="spellEnd"/>
      <w:r>
        <w:t xml:space="preserve"> i afsnittet omhandlende, at det operationelle kontrolprogram også skal omfatte kontrol af somatiske colifager i </w:t>
      </w:r>
      <w:proofErr w:type="spellStart"/>
      <w:r>
        <w:t>råvand</w:t>
      </w:r>
      <w:proofErr w:type="spellEnd"/>
      <w:r>
        <w:t xml:space="preserve"> for at kontrollere effektiviteten af behandlingsprocesser mod mikrobiologiske risici? Skal der analyseres for somatiske colifager ved anvendelse af grundvand? HOFOR mener, at det kun burde være aktuelt, hvor der anvendes overfladevand eller havvand til drikkevandsproduktion. Somatiske colifager er heller ikke nævnt som en parameter, der skal indgå i en boringskontrol, se tabel 2 bilag 8.</w:t>
      </w:r>
    </w:p>
    <w:p w14:paraId="03CFF14E" w14:textId="77777777" w:rsidR="00F96AF9" w:rsidRDefault="00F96AF9" w:rsidP="00F96AF9">
      <w:pPr>
        <w:pStyle w:val="Listeafsnit"/>
        <w:ind w:right="-1191"/>
      </w:pPr>
    </w:p>
    <w:p w14:paraId="5B68F3F5" w14:textId="77777777" w:rsidR="00F96AF9" w:rsidRDefault="00F96AF9" w:rsidP="00F96AF9">
      <w:pPr>
        <w:pStyle w:val="Listeafsnit"/>
        <w:ind w:right="-1191"/>
      </w:pPr>
    </w:p>
    <w:p w14:paraId="6463E7CD" w14:textId="77777777" w:rsidR="00F96AF9" w:rsidRDefault="00F96AF9" w:rsidP="00F96AF9">
      <w:pPr>
        <w:pStyle w:val="Listeafsnit"/>
        <w:ind w:right="-1191"/>
        <w:rPr>
          <w:b/>
        </w:rPr>
      </w:pPr>
      <w:r w:rsidRPr="00E560E9">
        <w:rPr>
          <w:b/>
        </w:rPr>
        <w:t>Miljøstyrelsens svar:</w:t>
      </w:r>
    </w:p>
    <w:p w14:paraId="67C08F98" w14:textId="4060DD00" w:rsidR="00F96AF9" w:rsidRPr="000B022E" w:rsidRDefault="00F96AF9" w:rsidP="00F96AF9">
      <w:pPr>
        <w:pStyle w:val="Listeafsnit"/>
        <w:ind w:right="-1191"/>
      </w:pPr>
      <w:r w:rsidRPr="000B022E">
        <w:t>Alle punkterne vedrør</w:t>
      </w:r>
      <w:r w:rsidR="007438F6">
        <w:t>er</w:t>
      </w:r>
      <w:r w:rsidRPr="000B022E">
        <w:t xml:space="preserve"> Drikkevandsbekendtgørelsen, hvorfor spørgsmålene besvares i høringsnotat til </w:t>
      </w:r>
      <w:r w:rsidR="00B62F9D">
        <w:t>D</w:t>
      </w:r>
      <w:r w:rsidRPr="000B022E">
        <w:t>rikkevandsbekendtgørelsen.</w:t>
      </w:r>
    </w:p>
    <w:p w14:paraId="6151982D" w14:textId="77777777" w:rsidR="00F96AF9" w:rsidRPr="000B022E" w:rsidRDefault="00F96AF9" w:rsidP="00F96AF9">
      <w:pPr>
        <w:pStyle w:val="Listeafsnit"/>
        <w:ind w:right="-1191"/>
      </w:pPr>
    </w:p>
    <w:p w14:paraId="1247EE03" w14:textId="77777777" w:rsidR="00F96AF9" w:rsidRDefault="00F96AF9" w:rsidP="00F96AF9">
      <w:pPr>
        <w:pStyle w:val="Listeafsnit"/>
        <w:ind w:right="-1191"/>
      </w:pPr>
    </w:p>
    <w:p w14:paraId="6C829FA3" w14:textId="77777777" w:rsidR="00F96AF9" w:rsidRPr="00C947AF" w:rsidRDefault="00F96AF9" w:rsidP="00F96AF9">
      <w:pPr>
        <w:pStyle w:val="Listeafsnit"/>
        <w:numPr>
          <w:ilvl w:val="0"/>
          <w:numId w:val="15"/>
        </w:numPr>
        <w:ind w:right="-1191"/>
        <w:rPr>
          <w:b/>
        </w:rPr>
      </w:pPr>
      <w:r w:rsidRPr="00C947AF">
        <w:rPr>
          <w:b/>
        </w:rPr>
        <w:t>ALS Denmark</w:t>
      </w:r>
    </w:p>
    <w:p w14:paraId="6A33130B" w14:textId="77777777" w:rsidR="00F96AF9" w:rsidRPr="00C947AF" w:rsidRDefault="00F96AF9" w:rsidP="00F96AF9">
      <w:pPr>
        <w:pStyle w:val="Listeafsnit"/>
        <w:ind w:right="-1191"/>
        <w:rPr>
          <w:i/>
        </w:rPr>
      </w:pPr>
      <w:r w:rsidRPr="00C947AF">
        <w:rPr>
          <w:i/>
        </w:rPr>
        <w:t>ALS Denmark har nedenstående høringssvar:</w:t>
      </w:r>
    </w:p>
    <w:p w14:paraId="446E7D50" w14:textId="77777777" w:rsidR="00F96AF9" w:rsidRPr="00C947AF" w:rsidRDefault="00F96AF9" w:rsidP="00F96AF9">
      <w:pPr>
        <w:pStyle w:val="Listeafsnit"/>
        <w:ind w:right="-1191"/>
        <w:rPr>
          <w:i/>
        </w:rPr>
      </w:pPr>
    </w:p>
    <w:p w14:paraId="5DCA4A9D" w14:textId="77777777" w:rsidR="00F96AF9" w:rsidRDefault="00F96AF9" w:rsidP="00F96AF9">
      <w:pPr>
        <w:pStyle w:val="Listeafsnit"/>
        <w:numPr>
          <w:ilvl w:val="0"/>
          <w:numId w:val="17"/>
        </w:numPr>
        <w:ind w:left="720" w:right="-1191"/>
        <w:rPr>
          <w:i/>
        </w:rPr>
      </w:pPr>
      <w:r w:rsidRPr="00052C15">
        <w:rPr>
          <w:i/>
        </w:rPr>
        <w:t xml:space="preserve">Det er rart at der er ryddet op i bekendtgørelsen, så den er lettere at læse. </w:t>
      </w:r>
    </w:p>
    <w:p w14:paraId="349D6019" w14:textId="77777777" w:rsidR="00F96AF9" w:rsidRPr="00427DB5" w:rsidRDefault="00F96AF9" w:rsidP="00F96AF9">
      <w:pPr>
        <w:pStyle w:val="Listeafsnit"/>
        <w:numPr>
          <w:ilvl w:val="0"/>
          <w:numId w:val="17"/>
        </w:numPr>
        <w:ind w:left="720" w:right="-1191"/>
        <w:rPr>
          <w:i/>
        </w:rPr>
      </w:pPr>
      <w:r w:rsidRPr="00052C15">
        <w:rPr>
          <w:i/>
        </w:rPr>
        <w:t xml:space="preserve">PFAS: Detektionsgrænserne for PFAS er så lave at det vil være mere overskueligt hvis </w:t>
      </w:r>
      <w:r w:rsidRPr="00427DB5">
        <w:rPr>
          <w:i/>
        </w:rPr>
        <w:t xml:space="preserve">enheden blev ændret fra µg/l til </w:t>
      </w:r>
      <w:proofErr w:type="spellStart"/>
      <w:r w:rsidRPr="00427DB5">
        <w:rPr>
          <w:i/>
        </w:rPr>
        <w:t>ng</w:t>
      </w:r>
      <w:proofErr w:type="spellEnd"/>
      <w:r w:rsidRPr="00427DB5">
        <w:rPr>
          <w:i/>
        </w:rPr>
        <w:t xml:space="preserve">/l – der er mange nuller at holde styr på når enheden er µg/l. </w:t>
      </w:r>
    </w:p>
    <w:p w14:paraId="147C6A9D" w14:textId="77777777" w:rsidR="00F96AF9" w:rsidRPr="00052C15" w:rsidRDefault="00F96AF9" w:rsidP="00F96AF9">
      <w:pPr>
        <w:pStyle w:val="Listeafsnit"/>
        <w:numPr>
          <w:ilvl w:val="0"/>
          <w:numId w:val="17"/>
        </w:numPr>
        <w:ind w:left="720" w:right="-1191"/>
        <w:rPr>
          <w:i/>
        </w:rPr>
      </w:pPr>
      <w:r w:rsidRPr="00052C15">
        <w:rPr>
          <w:i/>
        </w:rPr>
        <w:t xml:space="preserve">Der er i Bek. 796 af 13/6-2023 ” Bekendtgørelse om fastlæggelse af miljømål for vandløb, søer, overgangsvande, kystvande og grundvand” indført Miljøkvalitetskriterier for 24 PFAS, hvoraf 7 er forskellige fra de PFAS, der er indeholdt i 22 PFAS til vandforsyninger. Det er ønskeligt hurtigst muligt at få de resterende PFAS indført i </w:t>
      </w:r>
      <w:proofErr w:type="spellStart"/>
      <w:r w:rsidRPr="00052C15">
        <w:rPr>
          <w:i/>
        </w:rPr>
        <w:t>Kvalbek</w:t>
      </w:r>
      <w:proofErr w:type="spellEnd"/>
      <w:r w:rsidRPr="00052C15">
        <w:rPr>
          <w:i/>
        </w:rPr>
        <w:t>, så krav er tydelige og lettere for myndigheder og laboratorier at forholde sig til.</w:t>
      </w:r>
    </w:p>
    <w:p w14:paraId="0412C01D" w14:textId="77777777" w:rsidR="00F96AF9" w:rsidRDefault="00F96AF9" w:rsidP="00F96AF9">
      <w:pPr>
        <w:ind w:left="720" w:right="-1191"/>
        <w:rPr>
          <w:b/>
        </w:rPr>
      </w:pPr>
    </w:p>
    <w:p w14:paraId="5E60B90D" w14:textId="77777777" w:rsidR="00F96AF9" w:rsidRDefault="00F96AF9" w:rsidP="00F96AF9">
      <w:pPr>
        <w:ind w:left="720" w:right="-1191"/>
        <w:rPr>
          <w:b/>
        </w:rPr>
      </w:pPr>
      <w:r w:rsidRPr="003A5F35">
        <w:rPr>
          <w:b/>
        </w:rPr>
        <w:t>Miljøstyrelsens svar:</w:t>
      </w:r>
    </w:p>
    <w:p w14:paraId="3FA8217B" w14:textId="60FC0D78" w:rsidR="00F96AF9" w:rsidRDefault="00F96AF9" w:rsidP="00F96AF9">
      <w:pPr>
        <w:ind w:left="720" w:right="-1191"/>
      </w:pPr>
      <w:r w:rsidRPr="00F02141">
        <w:rPr>
          <w:b/>
        </w:rPr>
        <w:t xml:space="preserve">Ad </w:t>
      </w:r>
      <w:r>
        <w:rPr>
          <w:b/>
        </w:rPr>
        <w:t>1</w:t>
      </w:r>
      <w:r w:rsidRPr="00F02141">
        <w:t xml:space="preserve">. </w:t>
      </w:r>
      <w:r>
        <w:t xml:space="preserve">Miljøstyrelsen kvitterer for den positive </w:t>
      </w:r>
      <w:proofErr w:type="spellStart"/>
      <w:r>
        <w:t>feed-back</w:t>
      </w:r>
      <w:proofErr w:type="spellEnd"/>
      <w:r w:rsidR="00B62F9D">
        <w:t>.</w:t>
      </w:r>
    </w:p>
    <w:p w14:paraId="30194BE5" w14:textId="5CA1A04D" w:rsidR="00F96AF9" w:rsidRPr="00C80313" w:rsidRDefault="00F96AF9" w:rsidP="00F96AF9">
      <w:pPr>
        <w:ind w:left="720" w:right="-1191"/>
      </w:pPr>
      <w:r>
        <w:rPr>
          <w:b/>
        </w:rPr>
        <w:t>Ad 2</w:t>
      </w:r>
      <w:r w:rsidRPr="00E87D99">
        <w:t>.</w:t>
      </w:r>
      <w:r w:rsidR="00D8181B">
        <w:t xml:space="preserve"> </w:t>
      </w:r>
      <w:r w:rsidR="00C80313" w:rsidRPr="00C80313">
        <w:t xml:space="preserve">Miljøstyrelsen ønsker at opretholde samme enhed til analysekvalitet, som anvendes </w:t>
      </w:r>
      <w:r w:rsidR="00B62F9D">
        <w:t xml:space="preserve">for de relaterede </w:t>
      </w:r>
      <w:r w:rsidR="00C80313" w:rsidRPr="00C80313">
        <w:rPr>
          <w:rStyle w:val="Kommentarhenvisning"/>
          <w:sz w:val="20"/>
          <w:szCs w:val="20"/>
        </w:rPr>
        <w:t>kvalitetskrav, hvorfor enhed</w:t>
      </w:r>
      <w:r w:rsidR="00B62F9D">
        <w:rPr>
          <w:rStyle w:val="Kommentarhenvisning"/>
          <w:sz w:val="20"/>
          <w:szCs w:val="20"/>
        </w:rPr>
        <w:t xml:space="preserve">en µg/L </w:t>
      </w:r>
      <w:r w:rsidR="00C80313" w:rsidRPr="00C80313">
        <w:rPr>
          <w:rStyle w:val="Kommentarhenvisning"/>
          <w:sz w:val="20"/>
          <w:szCs w:val="20"/>
        </w:rPr>
        <w:t>opretholdes.</w:t>
      </w:r>
      <w:r w:rsidR="000E2563">
        <w:rPr>
          <w:rStyle w:val="Kommentarhenvisning"/>
          <w:sz w:val="20"/>
          <w:szCs w:val="20"/>
        </w:rPr>
        <w:t xml:space="preserve"> Enheden ”</w:t>
      </w:r>
      <w:proofErr w:type="spellStart"/>
      <w:r w:rsidR="000E2563">
        <w:rPr>
          <w:rStyle w:val="Kommentarhenvisning"/>
          <w:sz w:val="20"/>
          <w:szCs w:val="20"/>
        </w:rPr>
        <w:t>ng</w:t>
      </w:r>
      <w:proofErr w:type="spellEnd"/>
      <w:r w:rsidR="000E2563">
        <w:rPr>
          <w:rStyle w:val="Kommentarhenvisning"/>
          <w:sz w:val="20"/>
          <w:szCs w:val="20"/>
        </w:rPr>
        <w:t>/L” er heller ikke forenelig med Jupiter.</w:t>
      </w:r>
    </w:p>
    <w:p w14:paraId="55814C5C" w14:textId="44E5AEF6" w:rsidR="00F96AF9" w:rsidRPr="00F02141" w:rsidRDefault="00F96AF9" w:rsidP="00F96AF9">
      <w:pPr>
        <w:ind w:left="720" w:right="-1191"/>
      </w:pPr>
      <w:r>
        <w:rPr>
          <w:b/>
        </w:rPr>
        <w:t>Ad 3</w:t>
      </w:r>
      <w:r w:rsidRPr="00E87D99">
        <w:t>.</w:t>
      </w:r>
      <w:r>
        <w:t xml:space="preserve"> Miljøstyrelsen</w:t>
      </w:r>
      <w:r w:rsidR="00C90C7C">
        <w:t xml:space="preserve"> anerkender, problemstillingen og arbejder på at afklare en eventuel løsning internt.</w:t>
      </w:r>
    </w:p>
    <w:p w14:paraId="5C5B39CA" w14:textId="77777777" w:rsidR="00F96AF9" w:rsidRDefault="00F96AF9" w:rsidP="00F96AF9">
      <w:pPr>
        <w:pStyle w:val="Listeafsnit"/>
        <w:ind w:left="1080" w:right="-1191"/>
      </w:pPr>
    </w:p>
    <w:p w14:paraId="32C4E874" w14:textId="77777777" w:rsidR="00F96AF9" w:rsidRDefault="00F96AF9" w:rsidP="00F96AF9">
      <w:pPr>
        <w:ind w:right="-1191"/>
        <w:rPr>
          <w:b/>
        </w:rPr>
      </w:pPr>
      <w:r>
        <w:rPr>
          <w:b/>
        </w:rPr>
        <w:br w:type="page"/>
      </w:r>
    </w:p>
    <w:p w14:paraId="47167D76" w14:textId="77777777" w:rsidR="00F96AF9" w:rsidRPr="005B36E8" w:rsidRDefault="00F96AF9" w:rsidP="00F96AF9">
      <w:pPr>
        <w:pStyle w:val="Listeafsnit"/>
        <w:numPr>
          <w:ilvl w:val="0"/>
          <w:numId w:val="15"/>
        </w:numPr>
        <w:ind w:right="-1191"/>
        <w:rPr>
          <w:b/>
        </w:rPr>
      </w:pPr>
      <w:r>
        <w:rPr>
          <w:b/>
        </w:rPr>
        <w:lastRenderedPageBreak/>
        <w:t>Højvang laboratorier A/S</w:t>
      </w:r>
    </w:p>
    <w:p w14:paraId="44D7F11B" w14:textId="77777777" w:rsidR="00F96AF9" w:rsidRDefault="00F96AF9" w:rsidP="00F96AF9">
      <w:pPr>
        <w:ind w:right="-1191" w:firstLine="720"/>
        <w:rPr>
          <w:i/>
        </w:rPr>
      </w:pPr>
      <w:r>
        <w:rPr>
          <w:i/>
        </w:rPr>
        <w:t xml:space="preserve">Højvang har nedenstående høringssvar: </w:t>
      </w:r>
    </w:p>
    <w:p w14:paraId="2B497F76" w14:textId="03683A2E" w:rsidR="00F96AF9" w:rsidRPr="005A104C" w:rsidRDefault="00F96AF9" w:rsidP="00F96AF9">
      <w:pPr>
        <w:pStyle w:val="Listeafsnit"/>
        <w:numPr>
          <w:ilvl w:val="0"/>
          <w:numId w:val="18"/>
        </w:numPr>
        <w:ind w:right="-1191"/>
        <w:rPr>
          <w:i/>
        </w:rPr>
      </w:pPr>
      <w:r w:rsidRPr="005A104C">
        <w:rPr>
          <w:i/>
        </w:rPr>
        <w:t>Det fremgår ikke under de nye parametre, hvornår ændringerne skal være implementeret i forhold til ”A”. Normalt defineres der 6 mdr</w:t>
      </w:r>
      <w:r w:rsidR="00D8181B">
        <w:rPr>
          <w:i/>
        </w:rPr>
        <w:t>.</w:t>
      </w:r>
      <w:r w:rsidRPr="005A104C">
        <w:rPr>
          <w:i/>
        </w:rPr>
        <w:t xml:space="preserve"> til indkøring</w:t>
      </w:r>
      <w:r w:rsidR="00D97766" w:rsidRPr="005A104C">
        <w:rPr>
          <w:i/>
        </w:rPr>
        <w:t>,</w:t>
      </w:r>
      <w:r w:rsidRPr="005A104C">
        <w:rPr>
          <w:i/>
        </w:rPr>
        <w:t xml:space="preserve"> dvs</w:t>
      </w:r>
      <w:r w:rsidR="00D8181B">
        <w:rPr>
          <w:i/>
        </w:rPr>
        <w:t>.</w:t>
      </w:r>
      <w:r w:rsidRPr="005A104C">
        <w:rPr>
          <w:i/>
        </w:rPr>
        <w:t xml:space="preserve"> vi kan analysere som ”K” de første 6 </w:t>
      </w:r>
      <w:proofErr w:type="spellStart"/>
      <w:r w:rsidRPr="005A104C">
        <w:rPr>
          <w:i/>
        </w:rPr>
        <w:t>mdr</w:t>
      </w:r>
      <w:proofErr w:type="spellEnd"/>
      <w:r w:rsidRPr="005A104C">
        <w:rPr>
          <w:i/>
        </w:rPr>
        <w:t xml:space="preserve"> for at give os tid til akkrediteringen (som også omfatter behandlingstid hos DANAK).</w:t>
      </w:r>
    </w:p>
    <w:p w14:paraId="3DABA5DD" w14:textId="77777777" w:rsidR="00F96AF9" w:rsidRPr="005A104C" w:rsidRDefault="00F96AF9" w:rsidP="00F96AF9">
      <w:pPr>
        <w:pStyle w:val="Listeafsnit"/>
        <w:numPr>
          <w:ilvl w:val="0"/>
          <w:numId w:val="18"/>
        </w:numPr>
        <w:ind w:right="-1191"/>
        <w:rPr>
          <w:i/>
        </w:rPr>
      </w:pPr>
      <w:proofErr w:type="spellStart"/>
      <w:r w:rsidRPr="005A104C">
        <w:rPr>
          <w:i/>
        </w:rPr>
        <w:t>HHA’erne</w:t>
      </w:r>
      <w:proofErr w:type="spellEnd"/>
      <w:r w:rsidRPr="005A104C">
        <w:rPr>
          <w:i/>
        </w:rPr>
        <w:t xml:space="preserve"> indføres med to betydende cifre i LD og </w:t>
      </w:r>
      <w:proofErr w:type="spellStart"/>
      <w:r w:rsidRPr="005A104C">
        <w:rPr>
          <w:i/>
        </w:rPr>
        <w:t>Uabs</w:t>
      </w:r>
      <w:proofErr w:type="spellEnd"/>
      <w:r w:rsidRPr="005A104C">
        <w:rPr>
          <w:i/>
        </w:rPr>
        <w:t xml:space="preserve"> (for alle andre parametre er der tale om </w:t>
      </w:r>
      <w:proofErr w:type="gramStart"/>
      <w:r w:rsidRPr="005A104C">
        <w:rPr>
          <w:i/>
        </w:rPr>
        <w:t>en betydende ciffer</w:t>
      </w:r>
      <w:proofErr w:type="gramEnd"/>
      <w:r w:rsidRPr="005A104C">
        <w:rPr>
          <w:i/>
        </w:rPr>
        <w:t>)</w:t>
      </w:r>
    </w:p>
    <w:p w14:paraId="7D06DA82" w14:textId="77777777" w:rsidR="00F96AF9" w:rsidRPr="005A104C" w:rsidRDefault="00F96AF9" w:rsidP="00F96AF9">
      <w:pPr>
        <w:pStyle w:val="Listeafsnit"/>
        <w:numPr>
          <w:ilvl w:val="0"/>
          <w:numId w:val="18"/>
        </w:numPr>
        <w:ind w:right="-1191"/>
        <w:rPr>
          <w:i/>
        </w:rPr>
      </w:pPr>
      <w:r w:rsidRPr="005A104C">
        <w:rPr>
          <w:i/>
        </w:rPr>
        <w:t xml:space="preserve">PFAS: der savnes tilbagemeldinger på alle de kommentarer der kom til høringen omkring PFAS og indføring af forgrenet </w:t>
      </w:r>
      <w:proofErr w:type="gramStart"/>
      <w:r w:rsidRPr="005A104C">
        <w:rPr>
          <w:i/>
        </w:rPr>
        <w:t>PFAS forbindelser</w:t>
      </w:r>
      <w:proofErr w:type="gramEnd"/>
    </w:p>
    <w:p w14:paraId="0AF9BB85" w14:textId="77777777" w:rsidR="00F96AF9" w:rsidRDefault="00F96AF9" w:rsidP="00F96AF9">
      <w:pPr>
        <w:ind w:right="-1191"/>
        <w:rPr>
          <w:b/>
        </w:rPr>
      </w:pPr>
    </w:p>
    <w:p w14:paraId="299B8E65" w14:textId="77777777" w:rsidR="00F96AF9" w:rsidRDefault="00F96AF9" w:rsidP="00F96AF9">
      <w:pPr>
        <w:ind w:left="720" w:right="-1191"/>
        <w:rPr>
          <w:b/>
        </w:rPr>
      </w:pPr>
      <w:r w:rsidRPr="003A5F35">
        <w:rPr>
          <w:b/>
        </w:rPr>
        <w:t>Miljøstyrelsens svar:</w:t>
      </w:r>
    </w:p>
    <w:p w14:paraId="33A2BA72" w14:textId="55B2CB2C" w:rsidR="0029733F" w:rsidRPr="0029733F" w:rsidRDefault="00F96AF9" w:rsidP="00F96AF9">
      <w:pPr>
        <w:ind w:left="720" w:right="-1191"/>
      </w:pPr>
      <w:r w:rsidRPr="0029733F">
        <w:rPr>
          <w:b/>
        </w:rPr>
        <w:t>Ad 1.</w:t>
      </w:r>
      <w:r w:rsidR="000661ED" w:rsidRPr="0029733F">
        <w:t xml:space="preserve"> </w:t>
      </w:r>
      <w:proofErr w:type="spellStart"/>
      <w:r w:rsidR="00443976">
        <w:t>Chlorat</w:t>
      </w:r>
      <w:proofErr w:type="spellEnd"/>
      <w:r w:rsidR="00443976">
        <w:t xml:space="preserve">, </w:t>
      </w:r>
      <w:proofErr w:type="spellStart"/>
      <w:r w:rsidR="00443976">
        <w:t>Chlorit</w:t>
      </w:r>
      <w:proofErr w:type="spellEnd"/>
      <w:r w:rsidR="00443976">
        <w:t xml:space="preserve">, </w:t>
      </w:r>
      <w:r w:rsidR="0029733F" w:rsidRPr="0029733F">
        <w:t>Bisphenol A</w:t>
      </w:r>
      <w:r w:rsidR="00443976">
        <w:t xml:space="preserve">, </w:t>
      </w:r>
      <w:proofErr w:type="spellStart"/>
      <w:r w:rsidR="00443976">
        <w:t>halogenerede</w:t>
      </w:r>
      <w:proofErr w:type="spellEnd"/>
      <w:r w:rsidR="00443976">
        <w:t xml:space="preserve"> </w:t>
      </w:r>
      <w:proofErr w:type="spellStart"/>
      <w:r w:rsidR="00443976">
        <w:t>eddikesyrer</w:t>
      </w:r>
      <w:proofErr w:type="spellEnd"/>
      <w:r w:rsidR="00443976">
        <w:t xml:space="preserve"> og </w:t>
      </w:r>
      <w:proofErr w:type="spellStart"/>
      <w:r w:rsidR="00443976">
        <w:t>Microcystin</w:t>
      </w:r>
      <w:proofErr w:type="spellEnd"/>
      <w:r w:rsidR="0029733F" w:rsidRPr="0029733F">
        <w:t xml:space="preserve"> findes allerede i den gældende version af Drikkevandsbekendtgørelsen og Miljøstyrelsen vurderer, at der ikke er behov for en implementeringsfrist på disse</w:t>
      </w:r>
      <w:r w:rsidR="00443976">
        <w:t xml:space="preserve">, da </w:t>
      </w:r>
      <w:r w:rsidR="00F85490">
        <w:t xml:space="preserve">parametrene har fremgået af Drikkevandsbekendtgørelsen siden </w:t>
      </w:r>
      <w:r w:rsidR="00113F82">
        <w:t>14/05/2023</w:t>
      </w:r>
      <w:r w:rsidR="0029733F" w:rsidRPr="0029733F">
        <w:t>. D</w:t>
      </w:r>
      <w:r w:rsidR="0029733F">
        <w:t xml:space="preserve">et samme gælder Uran, </w:t>
      </w:r>
      <w:r w:rsidR="0029733F" w:rsidRPr="0029733F">
        <w:t>der indtil nu har haft et gældende drikkevandskvalitetskriterie.</w:t>
      </w:r>
    </w:p>
    <w:p w14:paraId="0E5F3A5E" w14:textId="77777777" w:rsidR="0029733F" w:rsidRPr="0029733F" w:rsidRDefault="0029733F" w:rsidP="00F96AF9">
      <w:pPr>
        <w:ind w:left="720" w:right="-1191"/>
      </w:pPr>
    </w:p>
    <w:p w14:paraId="7E2EA318" w14:textId="6D79F945" w:rsidR="0029733F" w:rsidRPr="005A104C" w:rsidRDefault="0029733F" w:rsidP="00F96AF9">
      <w:pPr>
        <w:ind w:left="720" w:right="-1191"/>
      </w:pPr>
      <w:r w:rsidRPr="005A104C">
        <w:t xml:space="preserve">På de resterende ”nye parametre” </w:t>
      </w:r>
      <w:r w:rsidR="00297074">
        <w:t xml:space="preserve">er </w:t>
      </w:r>
      <w:r w:rsidRPr="005A104C">
        <w:t>tilføje</w:t>
      </w:r>
      <w:r w:rsidR="00297074">
        <w:t>t</w:t>
      </w:r>
      <w:r w:rsidRPr="005A104C">
        <w:t xml:space="preserve"> en implementeringsfrist på 3</w:t>
      </w:r>
      <w:r w:rsidR="00297074">
        <w:t xml:space="preserve"> eller 6</w:t>
      </w:r>
      <w:r w:rsidRPr="005A104C">
        <w:t xml:space="preserve"> måneder.</w:t>
      </w:r>
    </w:p>
    <w:p w14:paraId="54857E26" w14:textId="02231DDF" w:rsidR="00C16FD5" w:rsidRPr="005A104C" w:rsidRDefault="00C16FD5" w:rsidP="00F96AF9">
      <w:pPr>
        <w:ind w:left="720" w:right="-1191"/>
      </w:pPr>
    </w:p>
    <w:p w14:paraId="7A92B77A" w14:textId="77777777" w:rsidR="00D37613" w:rsidRPr="00427DB5" w:rsidRDefault="00C16FD5" w:rsidP="00F96AF9">
      <w:pPr>
        <w:ind w:left="720" w:right="-1191"/>
        <w:rPr>
          <w:highlight w:val="yellow"/>
        </w:rPr>
      </w:pPr>
      <w:r w:rsidRPr="00427DB5">
        <w:rPr>
          <w:highlight w:val="yellow"/>
        </w:rPr>
        <w:t>Der er tilføjet en note på følgende stoffer</w:t>
      </w:r>
      <w:r w:rsidR="00D37613" w:rsidRPr="00427DB5">
        <w:rPr>
          <w:highlight w:val="yellow"/>
        </w:rPr>
        <w:t xml:space="preserve">: </w:t>
      </w:r>
    </w:p>
    <w:p w14:paraId="70B11E0A" w14:textId="0690E387" w:rsidR="00C16FD5" w:rsidRPr="0029733F" w:rsidRDefault="00D37613" w:rsidP="00F96AF9">
      <w:pPr>
        <w:ind w:left="720" w:right="-1191"/>
      </w:pPr>
      <w:r w:rsidRPr="00427DB5">
        <w:rPr>
          <w:highlight w:val="yellow"/>
        </w:rPr>
        <w:t>Bilag</w:t>
      </w:r>
      <w:r w:rsidR="00443976" w:rsidRPr="00427DB5">
        <w:rPr>
          <w:highlight w:val="yellow"/>
        </w:rPr>
        <w:t xml:space="preserve"> 1.3 og </w:t>
      </w:r>
      <w:r w:rsidRPr="00427DB5">
        <w:rPr>
          <w:highlight w:val="yellow"/>
        </w:rPr>
        <w:t>1.4</w:t>
      </w:r>
      <w:r w:rsidR="00443976" w:rsidRPr="00427DB5">
        <w:rPr>
          <w:highlight w:val="yellow"/>
        </w:rPr>
        <w:t>; DEET, CGA 42447</w:t>
      </w:r>
      <w:r w:rsidR="00427DB5">
        <w:rPr>
          <w:highlight w:val="yellow"/>
        </w:rPr>
        <w:t xml:space="preserve"> og DMSA (</w:t>
      </w:r>
      <w:r w:rsidR="00443976" w:rsidRPr="00427DB5">
        <w:rPr>
          <w:highlight w:val="yellow"/>
        </w:rPr>
        <w:t xml:space="preserve">som er tilføjet som konsekvens af </w:t>
      </w:r>
      <w:proofErr w:type="spellStart"/>
      <w:r w:rsidR="00443976" w:rsidRPr="00427DB5">
        <w:rPr>
          <w:highlight w:val="yellow"/>
        </w:rPr>
        <w:t>KLs</w:t>
      </w:r>
      <w:proofErr w:type="spellEnd"/>
      <w:r w:rsidR="00443976" w:rsidRPr="00427DB5">
        <w:rPr>
          <w:highlight w:val="yellow"/>
        </w:rPr>
        <w:t xml:space="preserve"> høringssvar</w:t>
      </w:r>
      <w:r w:rsidR="005A104C" w:rsidRPr="00427DB5">
        <w:rPr>
          <w:highlight w:val="yellow"/>
        </w:rPr>
        <w:t>)</w:t>
      </w:r>
      <w:r w:rsidRPr="00427DB5">
        <w:rPr>
          <w:highlight w:val="yellow"/>
        </w:rPr>
        <w:t>.</w:t>
      </w:r>
      <w:r w:rsidR="00C16FD5" w:rsidRPr="00427DB5">
        <w:rPr>
          <w:highlight w:val="yellow"/>
        </w:rPr>
        <w:t xml:space="preserve"> </w:t>
      </w:r>
      <w:r w:rsidR="005A104C" w:rsidRPr="00427DB5">
        <w:rPr>
          <w:highlight w:val="yellow"/>
        </w:rPr>
        <w:t>Bilag 1.19;</w:t>
      </w:r>
      <w:r w:rsidRPr="00427DB5">
        <w:rPr>
          <w:highlight w:val="yellow"/>
        </w:rPr>
        <w:t xml:space="preserve"> </w:t>
      </w:r>
      <w:r w:rsidR="00C16FD5" w:rsidRPr="00427DB5">
        <w:rPr>
          <w:highlight w:val="yellow"/>
        </w:rPr>
        <w:t xml:space="preserve">17Beta-østradiol, </w:t>
      </w:r>
      <w:proofErr w:type="spellStart"/>
      <w:r w:rsidR="00C16FD5" w:rsidRPr="00427DB5">
        <w:rPr>
          <w:highlight w:val="yellow"/>
        </w:rPr>
        <w:t>Nonylphenol</w:t>
      </w:r>
      <w:proofErr w:type="spellEnd"/>
      <w:r w:rsidRPr="00427DB5">
        <w:rPr>
          <w:highlight w:val="yellow"/>
        </w:rPr>
        <w:t>.</w:t>
      </w:r>
      <w:r w:rsidR="00427DB5">
        <w:rPr>
          <w:highlight w:val="yellow"/>
        </w:rPr>
        <w:t xml:space="preserve"> Bilag 2.8; </w:t>
      </w:r>
      <w:r w:rsidR="00C16FD5" w:rsidRPr="00427DB5">
        <w:rPr>
          <w:highlight w:val="yellow"/>
        </w:rPr>
        <w:t>Somatiske colifager</w:t>
      </w:r>
      <w:r>
        <w:rPr>
          <w:highlight w:val="yellow"/>
        </w:rPr>
        <w:t xml:space="preserve"> </w:t>
      </w:r>
    </w:p>
    <w:p w14:paraId="209BDB5A" w14:textId="77777777" w:rsidR="0029733F" w:rsidRDefault="0029733F" w:rsidP="00F96AF9">
      <w:pPr>
        <w:ind w:left="720" w:right="-1191"/>
        <w:rPr>
          <w:b/>
        </w:rPr>
      </w:pPr>
    </w:p>
    <w:p w14:paraId="1086DEC3" w14:textId="40107D9C" w:rsidR="00F96AF9" w:rsidRDefault="00F96AF9" w:rsidP="00F96AF9">
      <w:pPr>
        <w:ind w:left="720" w:right="-1191"/>
        <w:rPr>
          <w:highlight w:val="yellow"/>
        </w:rPr>
      </w:pPr>
      <w:r>
        <w:rPr>
          <w:b/>
        </w:rPr>
        <w:t xml:space="preserve">Ad 2. </w:t>
      </w:r>
      <w:r w:rsidRPr="003D7ABD">
        <w:rPr>
          <w:highlight w:val="yellow"/>
        </w:rPr>
        <w:t xml:space="preserve">Krav til DL ændres på baggrund af høringssvaret fra 1,2 til 1 og for </w:t>
      </w:r>
      <w:proofErr w:type="spellStart"/>
      <w:r w:rsidRPr="003D7ABD">
        <w:rPr>
          <w:highlight w:val="yellow"/>
        </w:rPr>
        <w:t>Uabs</w:t>
      </w:r>
      <w:proofErr w:type="spellEnd"/>
      <w:r w:rsidRPr="003D7ABD">
        <w:rPr>
          <w:highlight w:val="yellow"/>
        </w:rPr>
        <w:t xml:space="preserve"> fra 3,6 til 4.</w:t>
      </w:r>
    </w:p>
    <w:p w14:paraId="53AF9A38" w14:textId="77777777" w:rsidR="00D8181B" w:rsidRDefault="00D8181B" w:rsidP="00F96AF9">
      <w:pPr>
        <w:ind w:left="720" w:right="-1191"/>
        <w:rPr>
          <w:b/>
        </w:rPr>
      </w:pPr>
    </w:p>
    <w:p w14:paraId="211CA114" w14:textId="38BE667A" w:rsidR="00F96AF9" w:rsidRPr="004F62E0" w:rsidRDefault="00F96AF9" w:rsidP="00F96AF9">
      <w:pPr>
        <w:ind w:left="720" w:right="-1191"/>
      </w:pPr>
      <w:r>
        <w:rPr>
          <w:b/>
        </w:rPr>
        <w:t>Ad 3.</w:t>
      </w:r>
      <w:r w:rsidR="004F62E0">
        <w:rPr>
          <w:b/>
        </w:rPr>
        <w:t xml:space="preserve"> </w:t>
      </w:r>
      <w:r w:rsidR="004F62E0" w:rsidRPr="004F62E0">
        <w:t xml:space="preserve">Højvangs tidligere svar omkring PFAS-målinger er vedlagt som bilag </w:t>
      </w:r>
      <w:r w:rsidR="001E26F7">
        <w:t>2</w:t>
      </w:r>
      <w:r w:rsidR="004F62E0" w:rsidRPr="004F62E0">
        <w:t>.</w:t>
      </w:r>
      <w:r w:rsidR="004F62E0">
        <w:t xml:space="preserve"> </w:t>
      </w:r>
      <w:r w:rsidR="00603A9E">
        <w:t>S</w:t>
      </w:r>
      <w:r w:rsidR="004F62E0">
        <w:t xml:space="preserve">varet adresserer risikoen for interferens på målinger af forgrenede PFAS-stoffer </w:t>
      </w:r>
      <w:proofErr w:type="spellStart"/>
      <w:r w:rsidR="004F62E0">
        <w:t>pga</w:t>
      </w:r>
      <w:proofErr w:type="spellEnd"/>
      <w:r w:rsidR="004F62E0">
        <w:t xml:space="preserve"> manglende kemiske standarder.  </w:t>
      </w:r>
      <w:r w:rsidR="00603A9E">
        <w:t>Miljøstyrelsen er enige i, at ”</w:t>
      </w:r>
      <w:r w:rsidR="00603A9E" w:rsidRPr="00603A9E">
        <w:t>En faglig korrekt analyse af forgrenede PFAS-forbindelser er på ingen måde en triviel opgave i dag</w:t>
      </w:r>
      <w:r w:rsidR="00603A9E">
        <w:t>”. Miljøstyrelsen</w:t>
      </w:r>
      <w:r w:rsidR="00F85490">
        <w:t xml:space="preserve"> fastholder dog sin</w:t>
      </w:r>
      <w:r w:rsidR="00603A9E">
        <w:t xml:space="preserve"> beslutning at følge EU-definitionen</w:t>
      </w:r>
      <w:r w:rsidR="00C702AD">
        <w:t>,</w:t>
      </w:r>
      <w:r w:rsidR="00603A9E">
        <w:t xml:space="preserve"> og dermed stille krav om måling af sum lineær og forgrenet PFAS trods risiko for interferens.</w:t>
      </w:r>
    </w:p>
    <w:p w14:paraId="625C459E" w14:textId="77777777" w:rsidR="00F96AF9" w:rsidRDefault="00F96AF9" w:rsidP="00F96AF9">
      <w:pPr>
        <w:ind w:left="720" w:right="-1191"/>
      </w:pPr>
    </w:p>
    <w:p w14:paraId="08E7B7F0" w14:textId="77777777" w:rsidR="00F96AF9" w:rsidRPr="000E561F" w:rsidRDefault="00F96AF9" w:rsidP="00F96AF9">
      <w:pPr>
        <w:ind w:left="720" w:right="-1191"/>
        <w:rPr>
          <w:b/>
        </w:rPr>
      </w:pPr>
    </w:p>
    <w:p w14:paraId="3C881721" w14:textId="77777777" w:rsidR="00F96AF9" w:rsidRPr="000E561F" w:rsidRDefault="00F96AF9" w:rsidP="00F96AF9">
      <w:pPr>
        <w:pStyle w:val="Listeafsnit"/>
        <w:numPr>
          <w:ilvl w:val="0"/>
          <w:numId w:val="15"/>
        </w:numPr>
        <w:ind w:right="-1191"/>
        <w:rPr>
          <w:b/>
        </w:rPr>
      </w:pPr>
      <w:r w:rsidRPr="000E561F">
        <w:rPr>
          <w:b/>
        </w:rPr>
        <w:t>Danske Vandværker</w:t>
      </w:r>
    </w:p>
    <w:p w14:paraId="4BEC1585" w14:textId="77777777" w:rsidR="00F96AF9" w:rsidRPr="000E561F" w:rsidRDefault="00F96AF9" w:rsidP="00F96AF9">
      <w:pPr>
        <w:ind w:left="360" w:right="-1191"/>
        <w:rPr>
          <w:i/>
        </w:rPr>
      </w:pPr>
      <w:r w:rsidRPr="000E561F">
        <w:rPr>
          <w:i/>
        </w:rPr>
        <w:t>Danske Vandværker har nedenstående høringssvar:</w:t>
      </w:r>
    </w:p>
    <w:p w14:paraId="3B026290" w14:textId="77777777" w:rsidR="00F96AF9" w:rsidRDefault="00F96AF9" w:rsidP="00F96AF9">
      <w:pPr>
        <w:ind w:left="360" w:right="-1191"/>
      </w:pPr>
    </w:p>
    <w:p w14:paraId="658C0095" w14:textId="77777777" w:rsidR="00F96AF9" w:rsidRPr="005A104C" w:rsidRDefault="00F96AF9" w:rsidP="00F96AF9">
      <w:pPr>
        <w:ind w:left="360" w:right="-1191"/>
        <w:rPr>
          <w:i/>
        </w:rPr>
      </w:pPr>
      <w:r w:rsidRPr="005A104C">
        <w:rPr>
          <w:i/>
        </w:rPr>
        <w:t>Generelle bemærkninger</w:t>
      </w:r>
    </w:p>
    <w:p w14:paraId="46FF3EE7" w14:textId="7E5EDFCC" w:rsidR="00F96AF9" w:rsidRPr="005A104C" w:rsidRDefault="00F96AF9" w:rsidP="00F96AF9">
      <w:pPr>
        <w:pStyle w:val="Listeafsnit"/>
        <w:numPr>
          <w:ilvl w:val="0"/>
          <w:numId w:val="19"/>
        </w:numPr>
        <w:ind w:right="-1191"/>
        <w:rPr>
          <w:i/>
        </w:rPr>
      </w:pPr>
      <w:r w:rsidRPr="005A104C">
        <w:rPr>
          <w:i/>
        </w:rPr>
        <w:t>Danske Vandværker mener overordnet, at det er positivt, at der i bekendtgørelsen foretages konsekvensrettelser, og at der er foretaget en generel oprydning af navne, noter og henvisninger i bilagene og foretaget rettelser af konkrete fejl i formler.</w:t>
      </w:r>
    </w:p>
    <w:p w14:paraId="491CF78A" w14:textId="77777777" w:rsidR="00F96AF9" w:rsidRPr="005A104C" w:rsidRDefault="00F96AF9" w:rsidP="00F96AF9">
      <w:pPr>
        <w:ind w:left="360" w:right="-1191"/>
        <w:rPr>
          <w:i/>
        </w:rPr>
      </w:pPr>
      <w:r w:rsidRPr="005A104C">
        <w:rPr>
          <w:i/>
        </w:rPr>
        <w:t>Specifikke bemærkninger</w:t>
      </w:r>
    </w:p>
    <w:p w14:paraId="775137E1" w14:textId="77777777" w:rsidR="00F96AF9" w:rsidRPr="001F0E51" w:rsidRDefault="00F96AF9" w:rsidP="00F96AF9">
      <w:pPr>
        <w:pStyle w:val="Listeafsnit"/>
        <w:numPr>
          <w:ilvl w:val="0"/>
          <w:numId w:val="19"/>
        </w:numPr>
        <w:ind w:right="-1191"/>
        <w:rPr>
          <w:i/>
        </w:rPr>
      </w:pPr>
      <w:r w:rsidRPr="001F0E51">
        <w:rPr>
          <w:i/>
        </w:rPr>
        <w:t xml:space="preserve">Danske Vandværker finder det problematisk, at individuelt nævnte pesticidnavne, individuelt nævnte </w:t>
      </w:r>
      <w:proofErr w:type="spellStart"/>
      <w:r w:rsidRPr="001F0E51">
        <w:rPr>
          <w:i/>
        </w:rPr>
        <w:t>halogenerede</w:t>
      </w:r>
      <w:proofErr w:type="spellEnd"/>
      <w:r w:rsidRPr="001F0E51">
        <w:rPr>
          <w:i/>
        </w:rPr>
        <w:t xml:space="preserve"> alifatiske kulbrinter og individuelt nævnte pesticidnavne er fjernet, såfremt pesticiderne hører under gruppen ’Øvrige pesticider og nedbrydningsprodukter fra pesticider’, der er anført ved stofnavn i bekendtgørelse, samt at individuelt nævnte PFAS fjernes ved navns nævnelse, såfremt de er inkluderet i gruppen ’Øvrige PFAS’.</w:t>
      </w:r>
    </w:p>
    <w:p w14:paraId="01D9AF46" w14:textId="77777777" w:rsidR="00F96AF9" w:rsidRPr="005A104C" w:rsidRDefault="00F96AF9" w:rsidP="00F96AF9">
      <w:pPr>
        <w:ind w:left="720" w:right="-1191"/>
        <w:rPr>
          <w:i/>
        </w:rPr>
      </w:pPr>
      <w:r w:rsidRPr="001F0E51">
        <w:rPr>
          <w:i/>
        </w:rPr>
        <w:lastRenderedPageBreak/>
        <w:t>Bekymringen herfor går på, at der ved summering af stofgrupperne er risiko for, at de enkelte stoffers kvalitetskravværdier bliver blandet og derfor ikke giver et retvisende resultat.</w:t>
      </w:r>
    </w:p>
    <w:p w14:paraId="1725BFB6" w14:textId="77777777" w:rsidR="00F96AF9" w:rsidRDefault="00F96AF9" w:rsidP="00F96AF9">
      <w:pPr>
        <w:pStyle w:val="Opstilling-punkttegn"/>
        <w:numPr>
          <w:ilvl w:val="0"/>
          <w:numId w:val="0"/>
        </w:numPr>
        <w:ind w:left="360" w:right="-1191"/>
      </w:pPr>
    </w:p>
    <w:p w14:paraId="1E387433" w14:textId="77777777" w:rsidR="00F96AF9" w:rsidRDefault="00F96AF9" w:rsidP="00F96AF9">
      <w:pPr>
        <w:ind w:left="720" w:right="-1191"/>
        <w:rPr>
          <w:b/>
        </w:rPr>
      </w:pPr>
      <w:r w:rsidRPr="003A5F35">
        <w:rPr>
          <w:b/>
        </w:rPr>
        <w:t>Miljøstyrelsens svar:</w:t>
      </w:r>
    </w:p>
    <w:p w14:paraId="76CE9327" w14:textId="20783824" w:rsidR="00F96AF9" w:rsidRDefault="00F96AF9" w:rsidP="00F96AF9">
      <w:pPr>
        <w:ind w:left="720" w:right="-1191"/>
      </w:pPr>
      <w:r w:rsidRPr="00F02141">
        <w:rPr>
          <w:b/>
        </w:rPr>
        <w:t xml:space="preserve">Ad </w:t>
      </w:r>
      <w:r>
        <w:rPr>
          <w:b/>
        </w:rPr>
        <w:t>1</w:t>
      </w:r>
      <w:r w:rsidRPr="00F02141">
        <w:t xml:space="preserve">. </w:t>
      </w:r>
      <w:r>
        <w:t xml:space="preserve">Miljøstyrelsen kvitterer for den positive </w:t>
      </w:r>
      <w:proofErr w:type="spellStart"/>
      <w:r>
        <w:t>feed-back</w:t>
      </w:r>
      <w:proofErr w:type="spellEnd"/>
      <w:r w:rsidR="001F0E51">
        <w:t>.</w:t>
      </w:r>
    </w:p>
    <w:p w14:paraId="6DF03C12" w14:textId="005BEC05" w:rsidR="00F96AF9" w:rsidRPr="00F02141" w:rsidRDefault="00F96AF9" w:rsidP="00F96AF9">
      <w:pPr>
        <w:ind w:left="720" w:right="-1191"/>
      </w:pPr>
      <w:r>
        <w:rPr>
          <w:b/>
        </w:rPr>
        <w:t>Ad 2</w:t>
      </w:r>
      <w:r w:rsidRPr="00E87D99">
        <w:t>.</w:t>
      </w:r>
      <w:r>
        <w:t xml:space="preserve"> </w:t>
      </w:r>
      <w:r w:rsidR="00B83C8E">
        <w:t xml:space="preserve">Hvilke stoffer, der indgår i </w:t>
      </w:r>
      <w:r w:rsidR="00A7229E">
        <w:t>f.eks. sum af PFAS eller sum af pesticider</w:t>
      </w:r>
      <w:r w:rsidR="00B83C8E">
        <w:t>,</w:t>
      </w:r>
      <w:r w:rsidR="00A7229E">
        <w:t xml:space="preserve"> er defineret i bekendt</w:t>
      </w:r>
      <w:r w:rsidR="001F0E51">
        <w:t>gørelserne, der stiller krav om måling af summen, f.eks.</w:t>
      </w:r>
      <w:r w:rsidR="00A7229E">
        <w:t xml:space="preserve"> Drikkevandsbekendtgørelsen.</w:t>
      </w:r>
      <w:r w:rsidR="00B83C8E">
        <w:t xml:space="preserve"> Disse summe</w:t>
      </w:r>
      <w:r w:rsidR="00D8181B">
        <w:t>r</w:t>
      </w:r>
      <w:r w:rsidR="00B83C8E">
        <w:t xml:space="preserve"> opdateres regelmæssigt, og det er administrativt </w:t>
      </w:r>
      <w:r w:rsidR="001F0E51">
        <w:t>u</w:t>
      </w:r>
      <w:r w:rsidR="00B83C8E">
        <w:t>hensigtsmæssigt</w:t>
      </w:r>
      <w:r w:rsidR="001F0E51">
        <w:t xml:space="preserve"> </w:t>
      </w:r>
      <w:r w:rsidR="00B83C8E">
        <w:t xml:space="preserve">at skulle opdatere analysekvalitetsbekendtgørelsen, hver gang der ændres på en sum. </w:t>
      </w:r>
      <w:r w:rsidR="005A104C">
        <w:t xml:space="preserve">Ved </w:t>
      </w:r>
      <w:r w:rsidR="00F85490">
        <w:t>at henvise direkte</w:t>
      </w:r>
      <w:r w:rsidR="001F0E51">
        <w:t xml:space="preserve"> til </w:t>
      </w:r>
      <w:r w:rsidR="00D8181B">
        <w:t>D</w:t>
      </w:r>
      <w:r w:rsidR="001F0E51">
        <w:t>rikkevandsbekendtgørelsens bilag</w:t>
      </w:r>
      <w:r w:rsidR="005A104C">
        <w:t xml:space="preserve"> sikres</w:t>
      </w:r>
      <w:r w:rsidR="00F85490">
        <w:t xml:space="preserve"> det,</w:t>
      </w:r>
      <w:r w:rsidR="005A104C">
        <w:t xml:space="preserve"> at analysekvalitetskrav også gælder </w:t>
      </w:r>
      <w:r w:rsidR="00A3628C">
        <w:t>for</w:t>
      </w:r>
      <w:r w:rsidR="001F0E51">
        <w:t xml:space="preserve"> evt</w:t>
      </w:r>
      <w:r w:rsidR="00F85490">
        <w:t>.</w:t>
      </w:r>
      <w:r w:rsidR="001F0E51">
        <w:t xml:space="preserve"> ny-</w:t>
      </w:r>
      <w:r w:rsidR="005A104C">
        <w:t xml:space="preserve">tilføjede stoffer. </w:t>
      </w:r>
    </w:p>
    <w:p w14:paraId="343D76F3" w14:textId="77777777" w:rsidR="00F96AF9" w:rsidRDefault="00F96AF9" w:rsidP="00F96AF9">
      <w:pPr>
        <w:pStyle w:val="Opstilling-punkttegn"/>
        <w:numPr>
          <w:ilvl w:val="0"/>
          <w:numId w:val="0"/>
        </w:numPr>
        <w:ind w:left="360" w:right="-1191"/>
      </w:pPr>
    </w:p>
    <w:p w14:paraId="35091E39" w14:textId="77777777" w:rsidR="00F96AF9" w:rsidRDefault="00F96AF9" w:rsidP="00F96AF9">
      <w:pPr>
        <w:pStyle w:val="Opstilling-punkttegn"/>
        <w:numPr>
          <w:ilvl w:val="0"/>
          <w:numId w:val="0"/>
        </w:numPr>
        <w:ind w:left="360" w:right="-1191"/>
      </w:pPr>
    </w:p>
    <w:p w14:paraId="39D9314C" w14:textId="77777777" w:rsidR="00F96AF9" w:rsidRPr="00814D96" w:rsidRDefault="00F96AF9" w:rsidP="00F96AF9">
      <w:pPr>
        <w:pStyle w:val="Opstilling-punkttegn"/>
        <w:numPr>
          <w:ilvl w:val="0"/>
          <w:numId w:val="15"/>
        </w:numPr>
        <w:ind w:right="-1191"/>
        <w:rPr>
          <w:b/>
        </w:rPr>
      </w:pPr>
      <w:proofErr w:type="spellStart"/>
      <w:r w:rsidRPr="00814D96">
        <w:rPr>
          <w:b/>
        </w:rPr>
        <w:t>Eurofins</w:t>
      </w:r>
      <w:proofErr w:type="spellEnd"/>
      <w:r w:rsidRPr="00814D96">
        <w:rPr>
          <w:b/>
        </w:rPr>
        <w:t xml:space="preserve"> Miljø</w:t>
      </w:r>
    </w:p>
    <w:p w14:paraId="5C44FA1D" w14:textId="77777777" w:rsidR="00F96AF9" w:rsidRPr="00814D96" w:rsidRDefault="00F96AF9" w:rsidP="00F96AF9">
      <w:pPr>
        <w:pStyle w:val="Opstilling-punkttegn"/>
        <w:numPr>
          <w:ilvl w:val="0"/>
          <w:numId w:val="0"/>
        </w:numPr>
        <w:ind w:left="814" w:right="-1191" w:hanging="454"/>
        <w:rPr>
          <w:i/>
        </w:rPr>
      </w:pPr>
      <w:proofErr w:type="spellStart"/>
      <w:r w:rsidRPr="00814D96">
        <w:rPr>
          <w:i/>
        </w:rPr>
        <w:t>Eurofins</w:t>
      </w:r>
      <w:proofErr w:type="spellEnd"/>
      <w:r w:rsidRPr="00814D96">
        <w:rPr>
          <w:i/>
        </w:rPr>
        <w:t xml:space="preserve"> Miljø har nedenstående høringssvar:</w:t>
      </w:r>
    </w:p>
    <w:p w14:paraId="5D3C0BA4" w14:textId="77777777" w:rsidR="00F96AF9" w:rsidRDefault="00F96AF9" w:rsidP="00F96AF9">
      <w:pPr>
        <w:pStyle w:val="Opstilling-punkttegn"/>
        <w:numPr>
          <w:ilvl w:val="0"/>
          <w:numId w:val="0"/>
        </w:numPr>
        <w:ind w:left="814" w:right="-1191" w:hanging="454"/>
      </w:pPr>
    </w:p>
    <w:p w14:paraId="63977C00" w14:textId="77777777" w:rsidR="00F96AF9" w:rsidRPr="00A3628C" w:rsidRDefault="00F96AF9" w:rsidP="00F96AF9">
      <w:pPr>
        <w:pStyle w:val="Opstilling-talellerbogst"/>
        <w:numPr>
          <w:ilvl w:val="0"/>
          <w:numId w:val="0"/>
        </w:numPr>
        <w:ind w:left="454" w:right="-1191"/>
        <w:rPr>
          <w:i/>
        </w:rPr>
      </w:pPr>
      <w:r w:rsidRPr="00A3628C">
        <w:rPr>
          <w:i/>
        </w:rPr>
        <w:t>Kommentarer til de enkelte § og bilag i udkastet</w:t>
      </w:r>
    </w:p>
    <w:p w14:paraId="457CFBA5" w14:textId="77777777" w:rsidR="00F96AF9" w:rsidRPr="00A3628C" w:rsidRDefault="00F96AF9" w:rsidP="00F96AF9">
      <w:pPr>
        <w:pStyle w:val="Opstilling-talellerbogst"/>
        <w:ind w:right="-1191"/>
        <w:rPr>
          <w:i/>
        </w:rPr>
      </w:pPr>
      <w:r w:rsidRPr="00A3628C">
        <w:rPr>
          <w:i/>
        </w:rPr>
        <w:t>Afsnit 1.1.1 Ved beregning af detektionsgrænse er der angivet, at det skal være den korrigerede s(w)' (apostrof efter w) i formlen for LD. Det vil være hensigtsmæssigt at definere, hvilken korrektion, der er tilladt. Der mangler en parentes i formlen for s(w)^2, når den beregnes ud fra s(n)^2.</w:t>
      </w:r>
    </w:p>
    <w:p w14:paraId="66CEB524" w14:textId="77777777" w:rsidR="00F96AF9" w:rsidRPr="00A3628C" w:rsidRDefault="00F96AF9" w:rsidP="00F96AF9">
      <w:pPr>
        <w:pStyle w:val="Opstilling-talellerbogst"/>
        <w:numPr>
          <w:ilvl w:val="0"/>
          <w:numId w:val="0"/>
        </w:numPr>
        <w:ind w:left="454" w:right="-1191"/>
        <w:rPr>
          <w:i/>
        </w:rPr>
      </w:pPr>
    </w:p>
    <w:p w14:paraId="23081BDE" w14:textId="77777777" w:rsidR="00F96AF9" w:rsidRPr="00A3628C" w:rsidRDefault="00F96AF9" w:rsidP="00F96AF9">
      <w:pPr>
        <w:pStyle w:val="Opstilling-talellerbogst"/>
        <w:ind w:right="-1191"/>
        <w:rPr>
          <w:i/>
        </w:rPr>
      </w:pPr>
      <w:r w:rsidRPr="00A3628C">
        <w:rPr>
          <w:i/>
        </w:rPr>
        <w:t xml:space="preserve">Bilag 1.3, 1.11, 1.12 og 1.16 Grundvand skal analyseres for </w:t>
      </w:r>
      <w:proofErr w:type="spellStart"/>
      <w:r w:rsidRPr="00A3628C">
        <w:rPr>
          <w:i/>
        </w:rPr>
        <w:t>nonylphenol</w:t>
      </w:r>
      <w:proofErr w:type="spellEnd"/>
      <w:r w:rsidRPr="00A3628C">
        <w:rPr>
          <w:i/>
        </w:rPr>
        <w:t>/</w:t>
      </w:r>
      <w:proofErr w:type="spellStart"/>
      <w:r w:rsidRPr="00A3628C">
        <w:rPr>
          <w:i/>
        </w:rPr>
        <w:t>nonylphenoler</w:t>
      </w:r>
      <w:proofErr w:type="spellEnd"/>
      <w:r w:rsidRPr="00A3628C">
        <w:rPr>
          <w:i/>
        </w:rPr>
        <w:t xml:space="preserve">, mens fersk overfladevand og fersk og marint sediment tillige skal analyseres for 4-nonylphenol. </w:t>
      </w:r>
      <w:proofErr w:type="spellStart"/>
      <w:r w:rsidRPr="00A3628C">
        <w:rPr>
          <w:i/>
        </w:rPr>
        <w:t>Eurofins</w:t>
      </w:r>
      <w:proofErr w:type="spellEnd"/>
      <w:r w:rsidRPr="00A3628C">
        <w:rPr>
          <w:i/>
        </w:rPr>
        <w:t xml:space="preserve"> Miljø A/S gør opmærksom på, at det kan være vanskeligt kromatografisk at adskille denne gruppe fra de øvrige </w:t>
      </w:r>
      <w:proofErr w:type="spellStart"/>
      <w:r w:rsidRPr="00A3628C">
        <w:rPr>
          <w:i/>
        </w:rPr>
        <w:t>nonylphenoler</w:t>
      </w:r>
      <w:proofErr w:type="spellEnd"/>
      <w:r w:rsidRPr="00A3628C">
        <w:rPr>
          <w:i/>
        </w:rPr>
        <w:t xml:space="preserve">. I fersk sediment er krav til LD for 4-nonylphenol 200 gange mindre i forhold til kravet for </w:t>
      </w:r>
      <w:proofErr w:type="spellStart"/>
      <w:r w:rsidRPr="00A3628C">
        <w:rPr>
          <w:i/>
        </w:rPr>
        <w:t>nonylphenoler</w:t>
      </w:r>
      <w:proofErr w:type="spellEnd"/>
      <w:r w:rsidRPr="00A3628C">
        <w:rPr>
          <w:i/>
        </w:rPr>
        <w:t xml:space="preserve">. i praksis vil dette være vanskeligt at overholde pga. de nævnte vanskeligheder ved at separere 4-nonylphenol fra de øvrige </w:t>
      </w:r>
      <w:proofErr w:type="spellStart"/>
      <w:r w:rsidRPr="00A3628C">
        <w:rPr>
          <w:i/>
        </w:rPr>
        <w:t>nonylphenoler</w:t>
      </w:r>
      <w:proofErr w:type="spellEnd"/>
      <w:r w:rsidRPr="00A3628C">
        <w:rPr>
          <w:i/>
        </w:rPr>
        <w:t>.</w:t>
      </w:r>
    </w:p>
    <w:p w14:paraId="0921DBCF" w14:textId="77777777" w:rsidR="00F96AF9" w:rsidRPr="00A3628C" w:rsidRDefault="00F96AF9" w:rsidP="00F96AF9">
      <w:pPr>
        <w:pStyle w:val="Opstilling-talellerbogst"/>
        <w:numPr>
          <w:ilvl w:val="0"/>
          <w:numId w:val="0"/>
        </w:numPr>
        <w:ind w:left="454" w:right="-1191"/>
        <w:rPr>
          <w:i/>
        </w:rPr>
      </w:pPr>
    </w:p>
    <w:p w14:paraId="72FA449A" w14:textId="77777777" w:rsidR="00F96AF9" w:rsidRPr="00A3628C" w:rsidRDefault="00F96AF9" w:rsidP="00F96AF9">
      <w:pPr>
        <w:pStyle w:val="Opstilling-talellerbogst"/>
        <w:ind w:right="-1191"/>
        <w:rPr>
          <w:i/>
        </w:rPr>
      </w:pPr>
      <w:r w:rsidRPr="00A3628C">
        <w:rPr>
          <w:i/>
        </w:rPr>
        <w:t xml:space="preserve">Bilag 1.11 og 1.12 Angående enhedsskift for tørstof, glødetab og totalt organisk </w:t>
      </w:r>
      <w:proofErr w:type="spellStart"/>
      <w:r w:rsidRPr="00A3628C">
        <w:rPr>
          <w:i/>
        </w:rPr>
        <w:t>carbon</w:t>
      </w:r>
      <w:proofErr w:type="spellEnd"/>
      <w:r w:rsidRPr="00A3628C">
        <w:rPr>
          <w:i/>
        </w:rPr>
        <w:t xml:space="preserve">. </w:t>
      </w:r>
      <w:proofErr w:type="spellStart"/>
      <w:r w:rsidRPr="00A3628C">
        <w:rPr>
          <w:i/>
        </w:rPr>
        <w:t>Eurofins</w:t>
      </w:r>
      <w:proofErr w:type="spellEnd"/>
      <w:r w:rsidRPr="00A3628C">
        <w:rPr>
          <w:i/>
        </w:rPr>
        <w:t xml:space="preserve"> Miljø A/S gør opmærksom på, at værdierne for </w:t>
      </w:r>
      <w:proofErr w:type="spellStart"/>
      <w:r w:rsidRPr="00A3628C">
        <w:rPr>
          <w:i/>
        </w:rPr>
        <w:t>Uabs</w:t>
      </w:r>
      <w:proofErr w:type="spellEnd"/>
      <w:r w:rsidRPr="00A3628C">
        <w:rPr>
          <w:i/>
        </w:rPr>
        <w:t xml:space="preserve"> også skal omregnes til de tilrettede enheder for tørstof, glødetab og totalt organisk </w:t>
      </w:r>
      <w:proofErr w:type="spellStart"/>
      <w:r w:rsidRPr="00A3628C">
        <w:rPr>
          <w:i/>
        </w:rPr>
        <w:t>carbon</w:t>
      </w:r>
      <w:proofErr w:type="spellEnd"/>
      <w:r w:rsidRPr="00A3628C">
        <w:rPr>
          <w:i/>
        </w:rPr>
        <w:t>.</w:t>
      </w:r>
    </w:p>
    <w:p w14:paraId="0626AED3" w14:textId="77777777" w:rsidR="00F96AF9" w:rsidRPr="00A3628C" w:rsidRDefault="00F96AF9" w:rsidP="00F96AF9">
      <w:pPr>
        <w:pStyle w:val="Opstilling-talellerbogst"/>
        <w:numPr>
          <w:ilvl w:val="0"/>
          <w:numId w:val="0"/>
        </w:numPr>
        <w:ind w:left="454" w:right="-1191"/>
        <w:rPr>
          <w:i/>
        </w:rPr>
      </w:pPr>
    </w:p>
    <w:p w14:paraId="150D9744" w14:textId="77777777" w:rsidR="00F96AF9" w:rsidRPr="00A3628C" w:rsidRDefault="00F96AF9" w:rsidP="00F96AF9">
      <w:pPr>
        <w:pStyle w:val="Opstilling-talellerbogst"/>
        <w:ind w:right="-1191"/>
        <w:rPr>
          <w:i/>
        </w:rPr>
      </w:pPr>
      <w:r w:rsidRPr="00A3628C">
        <w:rPr>
          <w:i/>
        </w:rPr>
        <w:t xml:space="preserve">Bilag 1.11 og 1.12 Detektionsgrænsen for tørstof på fersk sediment samt marint sediment er sat meget lavt (0,05 % VV) i forhold til, at disse matricer er faste. En af de metoder (EN 15934), som metodedatablad M029 foreskriver, at man gerne må bruge til faste matricer (herunder sediment), foreskriver, at metoden kan bruges på prøver med en tørstofprocent på over 1%, hvilket giver god mening </w:t>
      </w:r>
      <w:proofErr w:type="spellStart"/>
      <w:r w:rsidRPr="00A3628C">
        <w:rPr>
          <w:i/>
        </w:rPr>
        <w:t>ifht</w:t>
      </w:r>
      <w:proofErr w:type="spellEnd"/>
      <w:r w:rsidRPr="00A3628C">
        <w:rPr>
          <w:i/>
        </w:rPr>
        <w:t xml:space="preserve">., at der er tale om faste matricer. DS204, som metodedatablad M029 også nævner, at man må bruge, har sat en meget lav detektionsgrænse (0,02 g/kg, svarende til 0,002%, dog for vandige matricer). Det nævnes dog også i metoden, at præcisionen afhænger af prøvetypen. </w:t>
      </w:r>
      <w:proofErr w:type="spellStart"/>
      <w:r w:rsidRPr="00A3628C">
        <w:rPr>
          <w:i/>
        </w:rPr>
        <w:t>Eurofins</w:t>
      </w:r>
      <w:proofErr w:type="spellEnd"/>
      <w:r w:rsidRPr="00A3628C">
        <w:rPr>
          <w:i/>
        </w:rPr>
        <w:t xml:space="preserve"> Miljø A/S foreslår, at LD enten hæves til 1% så måleområdet afspejler, at der analyseres på faste prøver, eller at detektionsgrænsekrav fortsat undlades.</w:t>
      </w:r>
    </w:p>
    <w:p w14:paraId="4570D189" w14:textId="77777777" w:rsidR="00F96AF9" w:rsidRPr="00A3628C" w:rsidRDefault="00F96AF9" w:rsidP="00F96AF9">
      <w:pPr>
        <w:pStyle w:val="Opstilling-talellerbogst"/>
        <w:numPr>
          <w:ilvl w:val="0"/>
          <w:numId w:val="0"/>
        </w:numPr>
        <w:ind w:right="-1191"/>
        <w:rPr>
          <w:i/>
        </w:rPr>
      </w:pPr>
    </w:p>
    <w:p w14:paraId="142359B3" w14:textId="77777777" w:rsidR="00F96AF9" w:rsidRPr="00A3628C" w:rsidRDefault="00F96AF9" w:rsidP="00F96AF9">
      <w:pPr>
        <w:pStyle w:val="Opstilling-talellerbogst"/>
        <w:ind w:right="-1191"/>
        <w:rPr>
          <w:i/>
        </w:rPr>
      </w:pPr>
      <w:r w:rsidRPr="00A3628C">
        <w:rPr>
          <w:i/>
        </w:rPr>
        <w:t xml:space="preserve">Bilag 1.11 Overvågning af fersk sediment. Enheden for </w:t>
      </w:r>
      <w:proofErr w:type="spellStart"/>
      <w:r w:rsidRPr="00A3628C">
        <w:rPr>
          <w:i/>
        </w:rPr>
        <w:t>MtBE</w:t>
      </w:r>
      <w:proofErr w:type="spellEnd"/>
      <w:r w:rsidRPr="00A3628C">
        <w:rPr>
          <w:i/>
        </w:rPr>
        <w:t xml:space="preserve"> er fortsat </w:t>
      </w:r>
      <w:proofErr w:type="spellStart"/>
      <w:r w:rsidRPr="00A3628C">
        <w:rPr>
          <w:i/>
        </w:rPr>
        <w:t>μg</w:t>
      </w:r>
      <w:proofErr w:type="spellEnd"/>
      <w:r w:rsidRPr="00A3628C">
        <w:rPr>
          <w:i/>
        </w:rPr>
        <w:t>/kg TS, men krav er tilrettet som om, enheden skal være mg/kg TS.</w:t>
      </w:r>
    </w:p>
    <w:p w14:paraId="2B34F535" w14:textId="77777777" w:rsidR="00F96AF9" w:rsidRPr="00A3628C" w:rsidRDefault="00F96AF9" w:rsidP="00F96AF9">
      <w:pPr>
        <w:pStyle w:val="Opstilling-talellerbogst"/>
        <w:numPr>
          <w:ilvl w:val="0"/>
          <w:numId w:val="0"/>
        </w:numPr>
        <w:ind w:left="454" w:right="-1191"/>
        <w:rPr>
          <w:i/>
        </w:rPr>
      </w:pPr>
    </w:p>
    <w:p w14:paraId="29AFA92E" w14:textId="77777777" w:rsidR="00F96AF9" w:rsidRPr="00A3628C" w:rsidRDefault="00F96AF9" w:rsidP="00F96AF9">
      <w:pPr>
        <w:pStyle w:val="Opstilling-talellerbogst"/>
        <w:ind w:right="-1191"/>
        <w:rPr>
          <w:i/>
        </w:rPr>
      </w:pPr>
      <w:r w:rsidRPr="00A3628C">
        <w:rPr>
          <w:i/>
        </w:rPr>
        <w:lastRenderedPageBreak/>
        <w:t xml:space="preserve">Bilag 1.12 og 1.13. </w:t>
      </w:r>
      <w:proofErr w:type="spellStart"/>
      <w:r w:rsidRPr="00A3628C">
        <w:rPr>
          <w:i/>
        </w:rPr>
        <w:t>Eurofins</w:t>
      </w:r>
      <w:proofErr w:type="spellEnd"/>
      <w:r w:rsidRPr="00A3628C">
        <w:rPr>
          <w:i/>
        </w:rPr>
        <w:t xml:space="preserve"> Miljø A/S foreslår at enheder rettes tilsvarende fersk sediment for at undgå forvirring.</w:t>
      </w:r>
    </w:p>
    <w:p w14:paraId="52FA02A8" w14:textId="77777777" w:rsidR="00F96AF9" w:rsidRPr="00A3628C" w:rsidRDefault="00F96AF9" w:rsidP="00F96AF9">
      <w:pPr>
        <w:pStyle w:val="Opstilling-talellerbogst"/>
        <w:numPr>
          <w:ilvl w:val="0"/>
          <w:numId w:val="0"/>
        </w:numPr>
        <w:ind w:left="454" w:right="-1191"/>
        <w:rPr>
          <w:i/>
        </w:rPr>
      </w:pPr>
    </w:p>
    <w:p w14:paraId="5C44C2AB" w14:textId="77777777" w:rsidR="00F96AF9" w:rsidRPr="00A3628C" w:rsidRDefault="00F96AF9" w:rsidP="00F96AF9">
      <w:pPr>
        <w:pStyle w:val="Opstilling-talellerbogst"/>
        <w:ind w:right="-1191"/>
        <w:rPr>
          <w:i/>
        </w:rPr>
      </w:pPr>
      <w:r w:rsidRPr="00A3628C">
        <w:rPr>
          <w:i/>
        </w:rPr>
        <w:t xml:space="preserve">Bilag 1.3, 1.4 samt 1.10, 1.11, 1.12, 1.14 og 1.17. I drikke- og grundvand analyseres kun for </w:t>
      </w:r>
      <w:proofErr w:type="spellStart"/>
      <w:r w:rsidRPr="00A3628C">
        <w:rPr>
          <w:i/>
        </w:rPr>
        <w:t>b+k</w:t>
      </w:r>
      <w:proofErr w:type="spellEnd"/>
      <w:r w:rsidRPr="00A3628C">
        <w:rPr>
          <w:i/>
        </w:rPr>
        <w:t xml:space="preserve"> isomererne af </w:t>
      </w:r>
      <w:proofErr w:type="spellStart"/>
      <w:r w:rsidRPr="00A3628C">
        <w:rPr>
          <w:i/>
        </w:rPr>
        <w:t>benzofluoranthen</w:t>
      </w:r>
      <w:proofErr w:type="spellEnd"/>
      <w:r w:rsidRPr="00A3628C">
        <w:rPr>
          <w:i/>
        </w:rPr>
        <w:t xml:space="preserve">, mens der i jord, slam, fersk og marint sediment og skaldyr analyseres for isomererne </w:t>
      </w:r>
      <w:proofErr w:type="spellStart"/>
      <w:r w:rsidRPr="00A3628C">
        <w:rPr>
          <w:i/>
        </w:rPr>
        <w:t>b+j+k</w:t>
      </w:r>
      <w:proofErr w:type="spellEnd"/>
      <w:r w:rsidRPr="00A3628C">
        <w:rPr>
          <w:i/>
        </w:rPr>
        <w:t>. Under normale analytiske betingelser er disse isomerer vanskelige at adskille og det vil derfor være uligt nemmere i alle tilfælde at analysere for summen af alle isomerer.</w:t>
      </w:r>
    </w:p>
    <w:p w14:paraId="54ECF994" w14:textId="77777777" w:rsidR="00F96AF9" w:rsidRPr="00A3628C" w:rsidRDefault="00F96AF9" w:rsidP="00F96AF9">
      <w:pPr>
        <w:pStyle w:val="Opstilling-talellerbogst"/>
        <w:numPr>
          <w:ilvl w:val="0"/>
          <w:numId w:val="0"/>
        </w:numPr>
        <w:ind w:left="454" w:right="-1191"/>
        <w:rPr>
          <w:i/>
        </w:rPr>
      </w:pPr>
    </w:p>
    <w:p w14:paraId="222F8C57" w14:textId="77777777" w:rsidR="00F96AF9" w:rsidRPr="00A3628C" w:rsidRDefault="00F96AF9" w:rsidP="00F96AF9">
      <w:pPr>
        <w:pStyle w:val="Opstilling-talellerbogst"/>
        <w:numPr>
          <w:ilvl w:val="0"/>
          <w:numId w:val="0"/>
        </w:numPr>
        <w:ind w:left="454" w:right="-1191"/>
        <w:rPr>
          <w:i/>
        </w:rPr>
      </w:pPr>
      <w:r w:rsidRPr="00A3628C">
        <w:rPr>
          <w:i/>
        </w:rPr>
        <w:t>Generelle kommentarer og forslag</w:t>
      </w:r>
    </w:p>
    <w:p w14:paraId="1527BCD3" w14:textId="77777777" w:rsidR="00F96AF9" w:rsidRPr="00A3628C" w:rsidRDefault="00F96AF9" w:rsidP="00F96AF9">
      <w:pPr>
        <w:pStyle w:val="Opstilling-talellerbogst"/>
        <w:ind w:right="-1191"/>
        <w:rPr>
          <w:i/>
        </w:rPr>
      </w:pPr>
      <w:r w:rsidRPr="00A3628C">
        <w:rPr>
          <w:i/>
        </w:rPr>
        <w:t xml:space="preserve">Der er fremsendt særskilt høringssvar til Udkast til bekendtgørelse om Legionellakontrol under Social og Boligstyrelsen. </w:t>
      </w:r>
      <w:proofErr w:type="spellStart"/>
      <w:r w:rsidRPr="00A3628C">
        <w:rPr>
          <w:i/>
        </w:rPr>
        <w:t>Eurofins</w:t>
      </w:r>
      <w:proofErr w:type="spellEnd"/>
      <w:r w:rsidRPr="00A3628C">
        <w:rPr>
          <w:i/>
        </w:rPr>
        <w:t xml:space="preserve"> Miljø A/S har foreslået, at der i den kommende bekendtgørelse om Legionellakontrol stilles krav om efterlevelse af Analysekvalitetsbekendtgørelsen samt at krav til prøvetagning og analyse for Legionella indarbejdes i Analysekvalitetsbekendtgørelsen.</w:t>
      </w:r>
    </w:p>
    <w:p w14:paraId="3083AE9D" w14:textId="77777777" w:rsidR="00F96AF9" w:rsidRPr="00A3628C" w:rsidRDefault="00F96AF9" w:rsidP="00F96AF9">
      <w:pPr>
        <w:pStyle w:val="Opstilling-talellerbogst"/>
        <w:numPr>
          <w:ilvl w:val="0"/>
          <w:numId w:val="0"/>
        </w:numPr>
        <w:ind w:left="454" w:right="-1191"/>
        <w:rPr>
          <w:i/>
        </w:rPr>
      </w:pPr>
    </w:p>
    <w:p w14:paraId="46CE8D35" w14:textId="77777777" w:rsidR="00F96AF9" w:rsidRPr="00A3628C" w:rsidRDefault="00F96AF9" w:rsidP="00F96AF9">
      <w:pPr>
        <w:pStyle w:val="Opstilling-talellerbogst"/>
        <w:ind w:right="-1191"/>
        <w:rPr>
          <w:i/>
        </w:rPr>
      </w:pPr>
      <w:proofErr w:type="spellStart"/>
      <w:r w:rsidRPr="00A3628C">
        <w:rPr>
          <w:i/>
        </w:rPr>
        <w:t>Eurofins</w:t>
      </w:r>
      <w:proofErr w:type="spellEnd"/>
      <w:r w:rsidRPr="00A3628C">
        <w:rPr>
          <w:i/>
        </w:rPr>
        <w:t xml:space="preserve"> Miljø A/S har i høringssvar til Drikkevandsbekendtgørelsen, gjort opmærksom på forskellige enheder for </w:t>
      </w:r>
      <w:proofErr w:type="spellStart"/>
      <w:r w:rsidRPr="00A3628C">
        <w:rPr>
          <w:i/>
        </w:rPr>
        <w:t>turbiditet</w:t>
      </w:r>
      <w:proofErr w:type="spellEnd"/>
      <w:r w:rsidRPr="00A3628C">
        <w:rPr>
          <w:i/>
        </w:rPr>
        <w:t xml:space="preserve"> (FNU og NTU). De to enheder indikerer metodeforskelle og burde give ens resultater, dog specificerer metodedatablad M036, at </w:t>
      </w:r>
      <w:proofErr w:type="spellStart"/>
      <w:r w:rsidRPr="00A3628C">
        <w:rPr>
          <w:i/>
        </w:rPr>
        <w:t>turbiditet</w:t>
      </w:r>
      <w:proofErr w:type="spellEnd"/>
      <w:r w:rsidRPr="00A3628C">
        <w:rPr>
          <w:i/>
        </w:rPr>
        <w:t xml:space="preserve"> skal angives i FNU. Det er ikke hensigtsmæssigt, hvis der er forskellig notation i henholdsvis drikkevandsbekendtgørelsen og analysekvalitetsbekendtgørelsen.</w:t>
      </w:r>
    </w:p>
    <w:p w14:paraId="7D0C11BA" w14:textId="77777777" w:rsidR="00F96AF9" w:rsidRPr="00A3628C" w:rsidRDefault="00F96AF9" w:rsidP="00F96AF9">
      <w:pPr>
        <w:pStyle w:val="Opstilling-talellerbogst"/>
        <w:numPr>
          <w:ilvl w:val="0"/>
          <w:numId w:val="0"/>
        </w:numPr>
        <w:ind w:right="-1191"/>
        <w:rPr>
          <w:i/>
        </w:rPr>
      </w:pPr>
    </w:p>
    <w:p w14:paraId="531106DA" w14:textId="77777777" w:rsidR="00F96AF9" w:rsidRPr="00A3628C" w:rsidRDefault="00F96AF9" w:rsidP="00F96AF9">
      <w:pPr>
        <w:pStyle w:val="Opstilling-talellerbogst"/>
        <w:ind w:right="-1191"/>
        <w:rPr>
          <w:i/>
        </w:rPr>
      </w:pPr>
      <w:proofErr w:type="spellStart"/>
      <w:r w:rsidRPr="00A3628C">
        <w:rPr>
          <w:i/>
        </w:rPr>
        <w:t>Eurofins</w:t>
      </w:r>
      <w:proofErr w:type="spellEnd"/>
      <w:r w:rsidRPr="00A3628C">
        <w:rPr>
          <w:i/>
        </w:rPr>
        <w:t xml:space="preserve"> Miljø A/S har tidligere gjort opmærksom på, at det vil være </w:t>
      </w:r>
      <w:proofErr w:type="spellStart"/>
      <w:r w:rsidRPr="00A3628C">
        <w:rPr>
          <w:i/>
        </w:rPr>
        <w:t>hensigtmæssigt</w:t>
      </w:r>
      <w:proofErr w:type="spellEnd"/>
      <w:r w:rsidRPr="00A3628C">
        <w:rPr>
          <w:i/>
        </w:rPr>
        <w:t xml:space="preserve"> at indføre krav til LQ i Analysekvalitetsbekendtgørelsen, så de danske krav ikke er forskellige fra praksis i EU i øvrigt. Det vil desuden være hensigtsmæssigt, at kvantitative resultater i intervallet fra LD til LQ ikke længere tillades, da tolkningen af disse kan give anledning til fejlskøn.</w:t>
      </w:r>
    </w:p>
    <w:p w14:paraId="4F40C3D1" w14:textId="77777777" w:rsidR="00F96AF9" w:rsidRPr="00A3628C" w:rsidRDefault="00F96AF9" w:rsidP="00F96AF9">
      <w:pPr>
        <w:pStyle w:val="Opstilling-talellerbogst"/>
        <w:numPr>
          <w:ilvl w:val="0"/>
          <w:numId w:val="0"/>
        </w:numPr>
        <w:ind w:right="-1191"/>
        <w:rPr>
          <w:i/>
        </w:rPr>
      </w:pPr>
    </w:p>
    <w:p w14:paraId="02A514FA" w14:textId="77777777" w:rsidR="00F96AF9" w:rsidRPr="00A3628C" w:rsidRDefault="00F96AF9" w:rsidP="00F96AF9">
      <w:pPr>
        <w:pStyle w:val="Opstilling-talellerbogst"/>
        <w:numPr>
          <w:ilvl w:val="0"/>
          <w:numId w:val="0"/>
        </w:numPr>
        <w:ind w:left="454" w:right="-1191"/>
        <w:rPr>
          <w:i/>
        </w:rPr>
      </w:pPr>
      <w:proofErr w:type="spellStart"/>
      <w:r w:rsidRPr="00A3628C">
        <w:rPr>
          <w:i/>
        </w:rPr>
        <w:t>Eurofins</w:t>
      </w:r>
      <w:proofErr w:type="spellEnd"/>
      <w:r w:rsidRPr="00A3628C">
        <w:rPr>
          <w:i/>
        </w:rPr>
        <w:t xml:space="preserve"> Miljø A/S håber, at vores bemærkninger og forslag til udkastet kan indarbejdes i den kommende bekendtgørelse</w:t>
      </w:r>
    </w:p>
    <w:p w14:paraId="12226B74" w14:textId="77777777" w:rsidR="00F96AF9" w:rsidRDefault="00F96AF9" w:rsidP="00F96AF9">
      <w:pPr>
        <w:pStyle w:val="Opstilling-talellerbogst"/>
        <w:numPr>
          <w:ilvl w:val="0"/>
          <w:numId w:val="0"/>
        </w:numPr>
        <w:ind w:left="454" w:right="-1191" w:hanging="454"/>
      </w:pPr>
    </w:p>
    <w:p w14:paraId="4D80F033" w14:textId="77777777" w:rsidR="00F96AF9" w:rsidRDefault="00F96AF9" w:rsidP="00F96AF9">
      <w:pPr>
        <w:pStyle w:val="Opstilling-talellerbogst"/>
        <w:numPr>
          <w:ilvl w:val="0"/>
          <w:numId w:val="0"/>
        </w:numPr>
        <w:ind w:left="454" w:right="-1191" w:hanging="454"/>
      </w:pPr>
    </w:p>
    <w:p w14:paraId="668BA1B4" w14:textId="77777777" w:rsidR="00F96AF9" w:rsidRDefault="00F96AF9" w:rsidP="00F96AF9">
      <w:pPr>
        <w:ind w:left="720" w:right="-1191"/>
        <w:rPr>
          <w:b/>
        </w:rPr>
      </w:pPr>
      <w:r w:rsidRPr="003A5F35">
        <w:rPr>
          <w:b/>
        </w:rPr>
        <w:t>Miljøstyrelsens svar:</w:t>
      </w:r>
    </w:p>
    <w:p w14:paraId="15C753AE" w14:textId="4ABF7E03" w:rsidR="00F96AF9" w:rsidRDefault="00F96AF9" w:rsidP="00F96AF9">
      <w:pPr>
        <w:ind w:left="720" w:right="-1191"/>
      </w:pPr>
      <w:r w:rsidRPr="00F02141">
        <w:rPr>
          <w:b/>
        </w:rPr>
        <w:t xml:space="preserve">Ad </w:t>
      </w:r>
      <w:r>
        <w:rPr>
          <w:b/>
        </w:rPr>
        <w:t>1</w:t>
      </w:r>
      <w:r w:rsidRPr="00F02141">
        <w:t xml:space="preserve">. </w:t>
      </w:r>
      <w:r w:rsidR="005C7E5E" w:rsidRPr="00014CA5">
        <w:rPr>
          <w:highlight w:val="yellow"/>
        </w:rPr>
        <w:t xml:space="preserve">Parentes er indsat som konsekvens af </w:t>
      </w:r>
      <w:proofErr w:type="spellStart"/>
      <w:r w:rsidR="005C7E5E" w:rsidRPr="00014CA5">
        <w:rPr>
          <w:highlight w:val="yellow"/>
        </w:rPr>
        <w:t>høringsvar</w:t>
      </w:r>
      <w:proofErr w:type="spellEnd"/>
      <w:r w:rsidR="005C7E5E">
        <w:t>. Miljøstyrelsen vil tage op med Referencelaboratoriet</w:t>
      </w:r>
      <w:r w:rsidR="009F7FC2">
        <w:t xml:space="preserve"> hvilken korrektion, der er tilladt</w:t>
      </w:r>
      <w:r w:rsidR="005C7E5E">
        <w:t xml:space="preserve">, og en </w:t>
      </w:r>
      <w:r w:rsidR="00F71D77">
        <w:t xml:space="preserve">evt. </w:t>
      </w:r>
      <w:r w:rsidR="005C7E5E">
        <w:t xml:space="preserve">konkretisering </w:t>
      </w:r>
      <w:r w:rsidR="00F71D77">
        <w:t xml:space="preserve">kan tilføjes </w:t>
      </w:r>
      <w:r w:rsidR="009F7FC2">
        <w:t xml:space="preserve">ved </w:t>
      </w:r>
      <w:r w:rsidR="00F71D77">
        <w:t>næste opdatering af bekendtgørelsen.</w:t>
      </w:r>
    </w:p>
    <w:p w14:paraId="1AE1F329" w14:textId="2F520FC9" w:rsidR="00F96AF9" w:rsidRDefault="00F96AF9" w:rsidP="00F96AF9">
      <w:pPr>
        <w:ind w:left="720" w:right="-1191"/>
      </w:pPr>
      <w:r>
        <w:rPr>
          <w:b/>
        </w:rPr>
        <w:t>Ad 2</w:t>
      </w:r>
      <w:r w:rsidRPr="00E87D99">
        <w:t>.</w:t>
      </w:r>
      <w:r>
        <w:t xml:space="preserve"> </w:t>
      </w:r>
      <w:r w:rsidRPr="00014CA5">
        <w:t xml:space="preserve">Der </w:t>
      </w:r>
      <w:r w:rsidR="00014CA5">
        <w:t xml:space="preserve">er ikke ændret på kravene til </w:t>
      </w:r>
      <w:proofErr w:type="spellStart"/>
      <w:r w:rsidR="00014CA5">
        <w:t>nonylphenoler</w:t>
      </w:r>
      <w:proofErr w:type="spellEnd"/>
      <w:r w:rsidR="00014CA5">
        <w:t xml:space="preserve"> i de nævnte bilag. Såfremt der er en analysekemisk udfordring, opfordrer Miljøstyrelsen </w:t>
      </w:r>
      <w:proofErr w:type="spellStart"/>
      <w:r w:rsidR="00014CA5">
        <w:t>Eurofins</w:t>
      </w:r>
      <w:proofErr w:type="spellEnd"/>
      <w:r w:rsidR="00014CA5">
        <w:t xml:space="preserve"> til at melde det ind til </w:t>
      </w:r>
      <w:r w:rsidR="00014CA5" w:rsidRPr="00014CA5">
        <w:t>Miljøstyrelsens Referencelaboratorium for Kemiske og Mikrobiologiske Miljømålinger</w:t>
      </w:r>
      <w:r w:rsidR="00014CA5">
        <w:t>.</w:t>
      </w:r>
    </w:p>
    <w:p w14:paraId="693A212B" w14:textId="0214D471" w:rsidR="00F96AF9" w:rsidRDefault="00F96AF9" w:rsidP="00F96AF9">
      <w:pPr>
        <w:ind w:left="720" w:right="-1191"/>
      </w:pPr>
      <w:r w:rsidRPr="00AC670D">
        <w:rPr>
          <w:b/>
        </w:rPr>
        <w:t>Ad 3.</w:t>
      </w:r>
      <w:r>
        <w:t xml:space="preserve"> </w:t>
      </w:r>
      <w:r w:rsidR="00C33DC4">
        <w:t xml:space="preserve">Miljøstyrelsen er enig i, at </w:t>
      </w:r>
      <w:proofErr w:type="spellStart"/>
      <w:r w:rsidR="00D217D0">
        <w:t>Uabs</w:t>
      </w:r>
      <w:proofErr w:type="spellEnd"/>
      <w:r w:rsidR="00D217D0">
        <w:t xml:space="preserve"> skal opdateres til den nye</w:t>
      </w:r>
      <w:r w:rsidR="00C33DC4">
        <w:t xml:space="preserve"> enhed for tørstof og glødetab: </w:t>
      </w:r>
      <w:proofErr w:type="spellStart"/>
      <w:r w:rsidR="00D217D0" w:rsidRPr="00C33DC4">
        <w:rPr>
          <w:highlight w:val="yellow"/>
        </w:rPr>
        <w:t>Uabs</w:t>
      </w:r>
      <w:proofErr w:type="spellEnd"/>
      <w:r w:rsidR="00D217D0" w:rsidRPr="00C33DC4">
        <w:rPr>
          <w:highlight w:val="yellow"/>
        </w:rPr>
        <w:t xml:space="preserve"> </w:t>
      </w:r>
      <w:r w:rsidR="00C33DC4">
        <w:rPr>
          <w:highlight w:val="yellow"/>
        </w:rPr>
        <w:t xml:space="preserve">er </w:t>
      </w:r>
      <w:r w:rsidR="00D217D0" w:rsidRPr="00C33DC4">
        <w:rPr>
          <w:highlight w:val="yellow"/>
        </w:rPr>
        <w:t>ændret fra 10 g/kg til 1% og fra 3 g/kg til 0,3 % i bilag 1.11 og 1.12</w:t>
      </w:r>
      <w:r w:rsidR="00D217D0">
        <w:t>. TOC havde allerede en enhed svarende til % (g/100 g), hvorfor denne ikke opdateres</w:t>
      </w:r>
      <w:r>
        <w:t>.</w:t>
      </w:r>
    </w:p>
    <w:p w14:paraId="76174E14" w14:textId="367FC12B" w:rsidR="00F96AF9" w:rsidRPr="004B18D4" w:rsidRDefault="00F96AF9" w:rsidP="00F96AF9">
      <w:pPr>
        <w:ind w:left="720" w:right="-1191"/>
      </w:pPr>
      <w:r>
        <w:rPr>
          <w:b/>
        </w:rPr>
        <w:t>Ad 4.</w:t>
      </w:r>
      <w:r w:rsidR="009F3155">
        <w:rPr>
          <w:b/>
        </w:rPr>
        <w:t xml:space="preserve"> </w:t>
      </w:r>
      <w:r w:rsidR="009F3155" w:rsidRPr="004B18D4">
        <w:t xml:space="preserve">Miljøstyrelsen ønsker at undersøge de tekniske muligheder mere detaljeret, hvorfor </w:t>
      </w:r>
      <w:r w:rsidR="009F3155" w:rsidRPr="004B18D4">
        <w:rPr>
          <w:highlight w:val="yellow"/>
        </w:rPr>
        <w:t xml:space="preserve">kravet til </w:t>
      </w:r>
      <w:r w:rsidR="004B18D4" w:rsidRPr="004B18D4">
        <w:rPr>
          <w:highlight w:val="yellow"/>
        </w:rPr>
        <w:t>LD for tørstof og glødetab i bilag 1.11 og 1.12 er fjernet igen</w:t>
      </w:r>
      <w:r w:rsidR="004B18D4" w:rsidRPr="004B18D4">
        <w:t>, i overensstemmelse med den gældende version af bekendtgørelsen.</w:t>
      </w:r>
    </w:p>
    <w:p w14:paraId="771B3ED6" w14:textId="2BE53C45" w:rsidR="00F96AF9" w:rsidRDefault="00F96AF9" w:rsidP="00F96AF9">
      <w:pPr>
        <w:ind w:left="720" w:right="-1191"/>
      </w:pPr>
      <w:r w:rsidRPr="0022504F">
        <w:rPr>
          <w:b/>
        </w:rPr>
        <w:t>Ad 5</w:t>
      </w:r>
      <w:r>
        <w:t xml:space="preserve">. </w:t>
      </w:r>
      <w:r w:rsidRPr="00EA0CC4">
        <w:rPr>
          <w:highlight w:val="yellow"/>
        </w:rPr>
        <w:t>Enhedsfejl rettet til mg/kg TS</w:t>
      </w:r>
      <w:r w:rsidR="00EA0CC4">
        <w:t xml:space="preserve"> </w:t>
      </w:r>
      <w:r w:rsidR="00EA0CC4" w:rsidRPr="00EA0CC4">
        <w:rPr>
          <w:highlight w:val="yellow"/>
        </w:rPr>
        <w:t>for MTBE i bilag 1.11</w:t>
      </w:r>
      <w:r w:rsidRPr="00EA0CC4">
        <w:rPr>
          <w:highlight w:val="yellow"/>
        </w:rPr>
        <w:t>.</w:t>
      </w:r>
    </w:p>
    <w:p w14:paraId="6B469565" w14:textId="56530F60" w:rsidR="00F96AF9" w:rsidRDefault="00F96AF9" w:rsidP="00F96AF9">
      <w:pPr>
        <w:ind w:left="720" w:right="-1191"/>
      </w:pPr>
      <w:r>
        <w:rPr>
          <w:b/>
        </w:rPr>
        <w:t>Ad 6</w:t>
      </w:r>
      <w:r w:rsidRPr="00042DC0">
        <w:t>.</w:t>
      </w:r>
      <w:r w:rsidR="00A03DDD">
        <w:t xml:space="preserve"> Miljøstyrelsen ønsker </w:t>
      </w:r>
      <w:r w:rsidR="009F7FC2">
        <w:t>af historiske årsager</w:t>
      </w:r>
      <w:r w:rsidR="009F7FC2" w:rsidRPr="00A03DDD">
        <w:t xml:space="preserve"> </w:t>
      </w:r>
      <w:r w:rsidR="00A03DDD" w:rsidRPr="00A03DDD">
        <w:t xml:space="preserve">ikke </w:t>
      </w:r>
      <w:r w:rsidR="009F7FC2">
        <w:t>at ændre</w:t>
      </w:r>
      <w:r w:rsidR="00A03DDD" w:rsidRPr="00A03DDD">
        <w:t xml:space="preserve"> </w:t>
      </w:r>
      <w:r w:rsidR="00A03DDD">
        <w:t>enheder i disse bilag.</w:t>
      </w:r>
    </w:p>
    <w:p w14:paraId="0DDE3510" w14:textId="61F5787F" w:rsidR="00F96AF9" w:rsidRDefault="00F96AF9" w:rsidP="00F96AF9">
      <w:pPr>
        <w:ind w:left="720" w:right="-1191"/>
      </w:pPr>
      <w:r>
        <w:rPr>
          <w:b/>
        </w:rPr>
        <w:t>Ad 7</w:t>
      </w:r>
      <w:r w:rsidRPr="00042DC0">
        <w:t>.</w:t>
      </w:r>
      <w:r>
        <w:t xml:space="preserve"> Angående </w:t>
      </w:r>
      <w:r w:rsidRPr="00042DC0">
        <w:t xml:space="preserve">isomererne af </w:t>
      </w:r>
      <w:proofErr w:type="spellStart"/>
      <w:r w:rsidRPr="00042DC0">
        <w:t>benzofluoranthen</w:t>
      </w:r>
      <w:proofErr w:type="spellEnd"/>
      <w:r w:rsidR="00B11640">
        <w:t>:</w:t>
      </w:r>
      <w:r>
        <w:t xml:space="preserve"> Det vil blive </w:t>
      </w:r>
      <w:r w:rsidR="00B11640">
        <w:t>overvejet</w:t>
      </w:r>
      <w:r>
        <w:t xml:space="preserve"> i forbindelse med næste</w:t>
      </w:r>
      <w:r w:rsidR="00623FAF">
        <w:t xml:space="preserve"> opdatering af bekendtgørelsen, om der er behov for ensretning</w:t>
      </w:r>
      <w:r>
        <w:t>.</w:t>
      </w:r>
    </w:p>
    <w:p w14:paraId="20A6538C" w14:textId="77777777" w:rsidR="00F96AF9" w:rsidRDefault="00F96AF9" w:rsidP="00F96AF9">
      <w:pPr>
        <w:ind w:left="720" w:right="-1191"/>
      </w:pPr>
      <w:r>
        <w:rPr>
          <w:b/>
        </w:rPr>
        <w:t>Ad 8</w:t>
      </w:r>
      <w:r w:rsidRPr="00042DC0">
        <w:t>.</w:t>
      </w:r>
      <w:r>
        <w:t xml:space="preserve"> Miljøstyrelsen afventer Social og Boligstyrelsens tilbagemelding angående dette.</w:t>
      </w:r>
    </w:p>
    <w:p w14:paraId="27DFE632" w14:textId="71E1ED02" w:rsidR="00F96AF9" w:rsidRDefault="00F96AF9" w:rsidP="00F96AF9">
      <w:pPr>
        <w:ind w:left="720" w:right="-1191"/>
      </w:pPr>
      <w:r>
        <w:rPr>
          <w:b/>
        </w:rPr>
        <w:lastRenderedPageBreak/>
        <w:t>Ad 9</w:t>
      </w:r>
      <w:r w:rsidRPr="00042DC0">
        <w:t>.</w:t>
      </w:r>
      <w:r>
        <w:t xml:space="preserve"> Miljøstyrelsen opretholder enheden ”FNU” i Analysekvalitetsbekendtgørelsen, da den er i overensstemmelse med metodehenvisningen. </w:t>
      </w:r>
      <w:r w:rsidR="00113F82">
        <w:t xml:space="preserve">NTU rettes til FNU i Drikkevandsbekendtgørelsen, som konsekvens af </w:t>
      </w:r>
      <w:proofErr w:type="spellStart"/>
      <w:r w:rsidR="00113F82">
        <w:t>høringsvaret</w:t>
      </w:r>
      <w:proofErr w:type="spellEnd"/>
      <w:r w:rsidR="00113F82">
        <w:t xml:space="preserve"> afgivet dertil.</w:t>
      </w:r>
      <w:bookmarkStart w:id="0" w:name="_GoBack"/>
      <w:bookmarkEnd w:id="0"/>
    </w:p>
    <w:p w14:paraId="538ED8D1" w14:textId="79AAFD96" w:rsidR="00F96AF9" w:rsidRDefault="00F96AF9" w:rsidP="00F96AF9">
      <w:pPr>
        <w:ind w:left="720" w:right="-1191"/>
      </w:pPr>
      <w:r>
        <w:rPr>
          <w:b/>
        </w:rPr>
        <w:t>Ad 10</w:t>
      </w:r>
      <w:r>
        <w:t xml:space="preserve">. Krav til LQ stilles implicit i bekendtgørelsen, da der er defineret en omregningsfaktor på 3 ved omregning fra LD til LQ. Fagdatasystemerne, PULS, Jupiter og </w:t>
      </w:r>
      <w:proofErr w:type="spellStart"/>
      <w:r>
        <w:t>VanDa</w:t>
      </w:r>
      <w:proofErr w:type="spellEnd"/>
      <w:r>
        <w:t xml:space="preserve"> er ved at blive opdateret til at kunne modtage LQ-værdier, hvilket bør løse problemstillingerne </w:t>
      </w:r>
      <w:proofErr w:type="spellStart"/>
      <w:r>
        <w:t>mht</w:t>
      </w:r>
      <w:proofErr w:type="spellEnd"/>
      <w:r>
        <w:t xml:space="preserve"> indrapportering </w:t>
      </w:r>
      <w:r w:rsidR="000317B3">
        <w:t xml:space="preserve">af resultater </w:t>
      </w:r>
      <w:r>
        <w:t xml:space="preserve">fra andre EU-lande. </w:t>
      </w:r>
      <w:r w:rsidR="00B11640">
        <w:t xml:space="preserve">Trods den høje analyseusikkerhed på resultater imellem LD og LQ, ser </w:t>
      </w:r>
      <w:r>
        <w:t xml:space="preserve">Miljøstyrelsens </w:t>
      </w:r>
      <w:proofErr w:type="spellStart"/>
      <w:r>
        <w:t>fagenheder</w:t>
      </w:r>
      <w:proofErr w:type="spellEnd"/>
      <w:r w:rsidR="00B11640">
        <w:t xml:space="preserve"> og fagdatacentre</w:t>
      </w:r>
      <w:r>
        <w:t xml:space="preserve"> </w:t>
      </w:r>
      <w:r w:rsidR="00B11640">
        <w:t>en vis værdi i disse data. Der foregår dog en løbende drøftelse af emnet i Miljøstyrelsen, og udvikling af de tekniske løsninger muliggør en ændring på området på sigt</w:t>
      </w:r>
      <w:r>
        <w:t xml:space="preserve">. </w:t>
      </w:r>
    </w:p>
    <w:p w14:paraId="2A209CCC" w14:textId="77777777" w:rsidR="00F96AF9" w:rsidRDefault="00F96AF9" w:rsidP="00F96AF9">
      <w:pPr>
        <w:ind w:left="720" w:right="-1191"/>
      </w:pPr>
    </w:p>
    <w:p w14:paraId="402C13E7" w14:textId="77777777" w:rsidR="00F96AF9" w:rsidRDefault="00F96AF9" w:rsidP="00F96AF9">
      <w:pPr>
        <w:ind w:left="720" w:right="-1191"/>
      </w:pPr>
    </w:p>
    <w:p w14:paraId="76045DEE" w14:textId="77777777" w:rsidR="00F96AF9" w:rsidRDefault="00F96AF9" w:rsidP="00F96AF9">
      <w:pPr>
        <w:pStyle w:val="Opstilling-punkttegn"/>
        <w:numPr>
          <w:ilvl w:val="0"/>
          <w:numId w:val="15"/>
        </w:numPr>
        <w:ind w:right="-1191"/>
        <w:rPr>
          <w:b/>
        </w:rPr>
      </w:pPr>
      <w:r>
        <w:rPr>
          <w:b/>
        </w:rPr>
        <w:t>KL</w:t>
      </w:r>
    </w:p>
    <w:p w14:paraId="20946B93" w14:textId="77777777" w:rsidR="00F96AF9" w:rsidRPr="00E82465" w:rsidRDefault="00F96AF9" w:rsidP="00F96AF9">
      <w:pPr>
        <w:pStyle w:val="Opstilling-punkttegn"/>
        <w:numPr>
          <w:ilvl w:val="0"/>
          <w:numId w:val="0"/>
        </w:numPr>
        <w:ind w:left="720" w:right="-1191"/>
        <w:rPr>
          <w:b/>
        </w:rPr>
      </w:pPr>
      <w:r w:rsidRPr="00E82465">
        <w:rPr>
          <w:i/>
        </w:rPr>
        <w:t>KL har nedenstående høringssvar:</w:t>
      </w:r>
    </w:p>
    <w:p w14:paraId="78EFA078" w14:textId="77777777" w:rsidR="00F96AF9" w:rsidRDefault="00F96AF9" w:rsidP="00F96AF9">
      <w:pPr>
        <w:ind w:left="720" w:right="-1191"/>
      </w:pPr>
    </w:p>
    <w:p w14:paraId="1BEC1308" w14:textId="77777777" w:rsidR="00F96AF9" w:rsidRPr="00A3628C" w:rsidRDefault="00F96AF9" w:rsidP="00F96AF9">
      <w:pPr>
        <w:ind w:left="720" w:right="-1191"/>
        <w:rPr>
          <w:i/>
        </w:rPr>
      </w:pPr>
      <w:r w:rsidRPr="00A3628C">
        <w:rPr>
          <w:i/>
        </w:rPr>
        <w:t>Hermed fremsender KL høringssvar til udkast til ændringer af analysekvalitetsbekendtgørelsen. Ændringer og høringssvar skal ses i sammenhæng</w:t>
      </w:r>
    </w:p>
    <w:p w14:paraId="4AA2E210" w14:textId="77777777" w:rsidR="00F96AF9" w:rsidRPr="00A3628C" w:rsidRDefault="00F96AF9" w:rsidP="00F96AF9">
      <w:pPr>
        <w:ind w:left="720" w:right="-1191"/>
        <w:rPr>
          <w:i/>
        </w:rPr>
      </w:pPr>
      <w:r w:rsidRPr="00A3628C">
        <w:rPr>
          <w:i/>
        </w:rPr>
        <w:t>med ændringer af drikkevandsbekendtgørelsen. Ændringerne til bekendtgørelsen sker som led i implementeringen af drikkevandsdirektivet. Det har ikke været muligt for KL at foretage en politisk behandling af høringssvaret inden for høringsfristen. Der tages derfor forbehold for den efterfølgende politiske behandling af høringssvaret. KL kvitterer for, at Miljøministeriet afholdt et interessentmøde under høringen af bekendtgørelserne, hvor mange spørgsmål blev afklaret.</w:t>
      </w:r>
    </w:p>
    <w:p w14:paraId="65C75694" w14:textId="77777777" w:rsidR="00F96AF9" w:rsidRPr="00A3628C" w:rsidRDefault="00F96AF9" w:rsidP="00F96AF9">
      <w:pPr>
        <w:ind w:left="720" w:right="-1191"/>
        <w:rPr>
          <w:i/>
        </w:rPr>
      </w:pPr>
    </w:p>
    <w:p w14:paraId="2B5152A5" w14:textId="77777777" w:rsidR="00F96AF9" w:rsidRPr="00A3628C" w:rsidRDefault="00F96AF9" w:rsidP="00F96AF9">
      <w:pPr>
        <w:pStyle w:val="Listeafsnit"/>
        <w:numPr>
          <w:ilvl w:val="0"/>
          <w:numId w:val="20"/>
        </w:numPr>
        <w:ind w:right="-1191"/>
        <w:rPr>
          <w:i/>
        </w:rPr>
      </w:pPr>
      <w:r w:rsidRPr="00A3628C">
        <w:rPr>
          <w:i/>
        </w:rPr>
        <w:t xml:space="preserve">Pesticider </w:t>
      </w:r>
    </w:p>
    <w:p w14:paraId="69DC467A" w14:textId="77777777" w:rsidR="00F96AF9" w:rsidRPr="00A3628C" w:rsidRDefault="00F96AF9" w:rsidP="00F96AF9">
      <w:pPr>
        <w:pStyle w:val="Listeafsnit"/>
        <w:ind w:right="-1191"/>
        <w:rPr>
          <w:i/>
        </w:rPr>
      </w:pPr>
      <w:r w:rsidRPr="00A3628C">
        <w:rPr>
          <w:i/>
        </w:rPr>
        <w:t xml:space="preserve">På bilag 1.4 nævnes der de to nye pesticider CGA 42447 og DEET, men det tredje nye pesticid </w:t>
      </w:r>
      <w:proofErr w:type="gramStart"/>
      <w:r w:rsidRPr="00A3628C">
        <w:rPr>
          <w:i/>
        </w:rPr>
        <w:t>N,N</w:t>
      </w:r>
      <w:proofErr w:type="gramEnd"/>
      <w:r w:rsidRPr="00A3628C">
        <w:rPr>
          <w:i/>
        </w:rPr>
        <w:t>-</w:t>
      </w:r>
      <w:proofErr w:type="spellStart"/>
      <w:r w:rsidRPr="00A3628C">
        <w:rPr>
          <w:i/>
        </w:rPr>
        <w:t>dimethylsulfamidsyre</w:t>
      </w:r>
      <w:proofErr w:type="spellEnd"/>
      <w:r w:rsidRPr="00A3628C">
        <w:rPr>
          <w:i/>
        </w:rPr>
        <w:t xml:space="preserve"> (DMSA), som tilføjes i høringsforslaget til drikkevandsbekendtgørelsen, er ikke medtaget i analysekvalitetsbekendtgørelsen. KL mener, at det må være en fejl, at DMSA ikke er med i analysekvalitetsbekendtgørelsen. DMSA tilføjes i drikkevandsbekendtgørelsen med et skærpet kvalitetskrav på </w:t>
      </w:r>
      <w:proofErr w:type="spellStart"/>
      <w:r w:rsidRPr="00A3628C">
        <w:rPr>
          <w:i/>
        </w:rPr>
        <w:t>μg</w:t>
      </w:r>
      <w:proofErr w:type="spellEnd"/>
      <w:r w:rsidRPr="00A3628C">
        <w:rPr>
          <w:i/>
        </w:rPr>
        <w:t xml:space="preserve">/L 0,01 i bilag 1b. De tre nye pesticider bør ligeledes medtages i analysekvalitetsbekendtgørelsens bilag 1.3 om grundvand. </w:t>
      </w:r>
    </w:p>
    <w:p w14:paraId="42889B8C" w14:textId="77777777" w:rsidR="00F96AF9" w:rsidRPr="00A3628C" w:rsidRDefault="00F96AF9" w:rsidP="00F96AF9">
      <w:pPr>
        <w:pStyle w:val="Listeafsnit"/>
        <w:ind w:right="-1191"/>
        <w:rPr>
          <w:i/>
        </w:rPr>
      </w:pPr>
    </w:p>
    <w:p w14:paraId="0DC432EA" w14:textId="77777777" w:rsidR="00F96AF9" w:rsidRPr="001260EC" w:rsidRDefault="00F96AF9" w:rsidP="00F96AF9">
      <w:pPr>
        <w:pStyle w:val="Listeafsnit"/>
        <w:numPr>
          <w:ilvl w:val="0"/>
          <w:numId w:val="20"/>
        </w:numPr>
        <w:ind w:right="-1191"/>
        <w:rPr>
          <w:i/>
        </w:rPr>
      </w:pPr>
      <w:r w:rsidRPr="001260EC">
        <w:rPr>
          <w:i/>
        </w:rPr>
        <w:t xml:space="preserve">PFAS </w:t>
      </w:r>
    </w:p>
    <w:p w14:paraId="0692B33A" w14:textId="0421FB61" w:rsidR="00F96AF9" w:rsidRPr="00A3628C" w:rsidRDefault="00F96AF9" w:rsidP="00A3628C">
      <w:pPr>
        <w:pStyle w:val="Listeafsnit"/>
        <w:ind w:right="-1191"/>
        <w:rPr>
          <w:i/>
        </w:rPr>
      </w:pPr>
      <w:r w:rsidRPr="00A3628C">
        <w:rPr>
          <w:i/>
        </w:rPr>
        <w:t xml:space="preserve">Kommunerne modtog i januar 2024 en skrivelse fra Miljøstyrelsen om måling af PFAS i miljøprøver, da der har været uklarhed omkring angivelse af, hvorvidt sumværdierne for PFAS blev angivet som en sum af de lineære eller som en sum af de lineære og forgrenede PFAS-forbindelser for de 5 </w:t>
      </w:r>
      <w:proofErr w:type="spellStart"/>
      <w:r w:rsidRPr="00A3628C">
        <w:rPr>
          <w:i/>
        </w:rPr>
        <w:t>PFASforbindelser</w:t>
      </w:r>
      <w:proofErr w:type="spellEnd"/>
      <w:r w:rsidRPr="00A3628C">
        <w:rPr>
          <w:i/>
        </w:rPr>
        <w:t xml:space="preserve">: PFOS, PFOS, PFNA og </w:t>
      </w:r>
      <w:proofErr w:type="spellStart"/>
      <w:r w:rsidRPr="00A3628C">
        <w:rPr>
          <w:i/>
        </w:rPr>
        <w:t>PFHxS</w:t>
      </w:r>
      <w:proofErr w:type="spellEnd"/>
      <w:r w:rsidRPr="00A3628C">
        <w:rPr>
          <w:i/>
        </w:rPr>
        <w:t xml:space="preserve"> og PFOSA. Det fremgår af Miljøstyrelsens</w:t>
      </w:r>
      <w:r w:rsidR="00CD6891" w:rsidRPr="00A3628C">
        <w:rPr>
          <w:i/>
        </w:rPr>
        <w:t xml:space="preserve"> </w:t>
      </w:r>
      <w:r w:rsidRPr="00A3628C">
        <w:rPr>
          <w:i/>
        </w:rPr>
        <w:t>brev, at metoden M068 skal opdateres i 1. kvartal 2024. Det fremgår ikke klart af analysekvalitetsbekendtgørelsen eller høringsbrevet om det er sket. Det hører måske ikke hjemme der, men det har betydning for de sumværdier, som skal være overholdt i drikkevandsbekendtgørelsen for PFAS-forbindelser. KL ønsker derfor afklaring af, hvorvidt metoden er opdateret. PFOSA, som ligeledes har lineære og forgrenede forbindelser, fremgår ikke direkte i analysekvalitetsbekendtgørelsen. KL ønsker svar på, om PFOSA henhører under øvrige PFAS.</w:t>
      </w:r>
    </w:p>
    <w:p w14:paraId="44F25F42" w14:textId="77777777" w:rsidR="00F96AF9" w:rsidRPr="00A3628C" w:rsidRDefault="00F96AF9" w:rsidP="00F96AF9">
      <w:pPr>
        <w:ind w:left="720" w:right="-1191"/>
        <w:rPr>
          <w:i/>
        </w:rPr>
      </w:pPr>
    </w:p>
    <w:p w14:paraId="213D40BE" w14:textId="77777777" w:rsidR="00F96AF9" w:rsidRPr="00A3628C" w:rsidRDefault="00F96AF9" w:rsidP="00F96AF9">
      <w:pPr>
        <w:pStyle w:val="Listeafsnit"/>
        <w:numPr>
          <w:ilvl w:val="0"/>
          <w:numId w:val="20"/>
        </w:numPr>
        <w:ind w:right="-1191"/>
        <w:rPr>
          <w:i/>
        </w:rPr>
      </w:pPr>
      <w:r w:rsidRPr="00A3628C">
        <w:rPr>
          <w:i/>
        </w:rPr>
        <w:t>Det fremgår ikke af analysekvalitetsbekendtgørelsen, hvornår den forventes</w:t>
      </w:r>
    </w:p>
    <w:p w14:paraId="2A6F5415" w14:textId="14BF72B0" w:rsidR="00F96AF9" w:rsidRPr="00A3628C" w:rsidRDefault="00F96AF9" w:rsidP="00F96AF9">
      <w:pPr>
        <w:ind w:left="720" w:right="-1191"/>
        <w:rPr>
          <w:i/>
        </w:rPr>
      </w:pPr>
      <w:r w:rsidRPr="00A3628C">
        <w:rPr>
          <w:i/>
        </w:rPr>
        <w:lastRenderedPageBreak/>
        <w:t>at skulle træde i kraft. KL forventer, at det er samtidig med drikkevandsbekendtgørelsen,</w:t>
      </w:r>
      <w:r w:rsidR="002F4E89" w:rsidRPr="00A3628C">
        <w:rPr>
          <w:i/>
        </w:rPr>
        <w:t xml:space="preserve"> </w:t>
      </w:r>
      <w:r w:rsidRPr="00A3628C">
        <w:rPr>
          <w:i/>
        </w:rPr>
        <w:t>1. juli 2024.</w:t>
      </w:r>
    </w:p>
    <w:p w14:paraId="0BF9777C" w14:textId="77777777" w:rsidR="00F96AF9" w:rsidRPr="00A3628C" w:rsidRDefault="00F96AF9" w:rsidP="00F96AF9">
      <w:pPr>
        <w:ind w:left="720" w:right="-1191"/>
        <w:rPr>
          <w:i/>
        </w:rPr>
      </w:pPr>
    </w:p>
    <w:p w14:paraId="7C6978F4" w14:textId="77777777" w:rsidR="00F96AF9" w:rsidRPr="001260EC" w:rsidRDefault="00F96AF9" w:rsidP="00F96AF9">
      <w:pPr>
        <w:pStyle w:val="Listeafsnit"/>
        <w:numPr>
          <w:ilvl w:val="0"/>
          <w:numId w:val="20"/>
        </w:numPr>
        <w:ind w:right="-1191"/>
        <w:rPr>
          <w:i/>
        </w:rPr>
      </w:pPr>
      <w:r w:rsidRPr="001260EC">
        <w:rPr>
          <w:i/>
        </w:rPr>
        <w:t>Økonomi</w:t>
      </w:r>
    </w:p>
    <w:p w14:paraId="75522F95" w14:textId="77777777" w:rsidR="00F96AF9" w:rsidRPr="00A3628C" w:rsidRDefault="00F96AF9" w:rsidP="00F96AF9">
      <w:pPr>
        <w:ind w:left="720" w:right="-1191"/>
        <w:rPr>
          <w:i/>
        </w:rPr>
      </w:pPr>
      <w:r w:rsidRPr="00A3628C">
        <w:rPr>
          <w:i/>
        </w:rPr>
        <w:t>KL antager, at eftersom ændringen af analysekvalitetsbekendtgørelsen</w:t>
      </w:r>
    </w:p>
    <w:p w14:paraId="6CF86C93" w14:textId="77777777" w:rsidR="00F96AF9" w:rsidRPr="00A3628C" w:rsidRDefault="00F96AF9" w:rsidP="00F96AF9">
      <w:pPr>
        <w:ind w:left="720" w:right="-1191"/>
        <w:rPr>
          <w:i/>
        </w:rPr>
      </w:pPr>
      <w:r w:rsidRPr="00A3628C">
        <w:rPr>
          <w:i/>
        </w:rPr>
        <w:t>blandt andet sker som konsekvens af ændringer i drikkevandsbekendtgørelsen</w:t>
      </w:r>
    </w:p>
    <w:p w14:paraId="116A3093" w14:textId="77777777" w:rsidR="00F96AF9" w:rsidRPr="00A3628C" w:rsidRDefault="00F96AF9" w:rsidP="00F96AF9">
      <w:pPr>
        <w:ind w:left="720" w:right="-1191"/>
        <w:rPr>
          <w:i/>
        </w:rPr>
      </w:pPr>
      <w:r w:rsidRPr="00A3628C">
        <w:rPr>
          <w:i/>
        </w:rPr>
        <w:t>som følge af implementering af EU’s Drikkevandsdirektiv, så vil en forhandling</w:t>
      </w:r>
    </w:p>
    <w:p w14:paraId="31D643E8" w14:textId="77777777" w:rsidR="00F96AF9" w:rsidRPr="00A3628C" w:rsidRDefault="00F96AF9" w:rsidP="00F96AF9">
      <w:pPr>
        <w:ind w:left="720" w:right="-1191"/>
        <w:rPr>
          <w:i/>
        </w:rPr>
      </w:pPr>
      <w:r w:rsidRPr="00A3628C">
        <w:rPr>
          <w:i/>
        </w:rPr>
        <w:t>af bekendtgørelsens økonomiske konsekvenser for kommuner ske</w:t>
      </w:r>
    </w:p>
    <w:p w14:paraId="03F7E038" w14:textId="77777777" w:rsidR="00F96AF9" w:rsidRPr="00A3628C" w:rsidRDefault="00F96AF9" w:rsidP="00F96AF9">
      <w:pPr>
        <w:ind w:left="720" w:right="-1191"/>
        <w:rPr>
          <w:i/>
        </w:rPr>
      </w:pPr>
      <w:r w:rsidRPr="00A3628C">
        <w:rPr>
          <w:i/>
        </w:rPr>
        <w:t>sammen med den aftalte samlede DUT-forhandling af opgaverne i selve lovforslaget</w:t>
      </w:r>
    </w:p>
    <w:p w14:paraId="57617C04" w14:textId="77777777" w:rsidR="00F96AF9" w:rsidRPr="00A3628C" w:rsidRDefault="00F96AF9" w:rsidP="00F96AF9">
      <w:pPr>
        <w:ind w:left="720" w:right="-1191"/>
        <w:rPr>
          <w:i/>
        </w:rPr>
      </w:pPr>
      <w:r w:rsidRPr="00A3628C">
        <w:rPr>
          <w:i/>
        </w:rPr>
        <w:t>og de udmøntende bekendtgørelser.</w:t>
      </w:r>
    </w:p>
    <w:p w14:paraId="51DF7DB8" w14:textId="77777777" w:rsidR="00F96AF9" w:rsidRPr="00A3628C" w:rsidRDefault="00F96AF9" w:rsidP="00F96AF9">
      <w:pPr>
        <w:ind w:left="720" w:right="-1191"/>
        <w:rPr>
          <w:i/>
        </w:rPr>
      </w:pPr>
      <w:r w:rsidRPr="00A3628C">
        <w:rPr>
          <w:i/>
        </w:rPr>
        <w:t>Hvis det er Miljøministeriets vurdering, at analysekvalitetsbekendtgørelse</w:t>
      </w:r>
    </w:p>
    <w:p w14:paraId="05E6D4A3" w14:textId="77777777" w:rsidR="00F96AF9" w:rsidRPr="00A3628C" w:rsidRDefault="00F96AF9" w:rsidP="00F96AF9">
      <w:pPr>
        <w:ind w:left="720" w:right="-1191"/>
        <w:rPr>
          <w:i/>
        </w:rPr>
      </w:pPr>
      <w:r w:rsidRPr="00A3628C">
        <w:rPr>
          <w:i/>
        </w:rPr>
        <w:t>ikke skal indgå i denne forhandling, skal KL anmode om hurtigst muligt at få</w:t>
      </w:r>
    </w:p>
    <w:p w14:paraId="03782E10" w14:textId="77777777" w:rsidR="00F96AF9" w:rsidRPr="00A3628C" w:rsidRDefault="00F96AF9" w:rsidP="00F96AF9">
      <w:pPr>
        <w:ind w:left="720" w:right="-1191"/>
        <w:rPr>
          <w:i/>
        </w:rPr>
      </w:pPr>
      <w:r w:rsidRPr="00A3628C">
        <w:rPr>
          <w:i/>
        </w:rPr>
        <w:t>tilsendte en økonomisk høring af bekendtgørelsesudkastet.</w:t>
      </w:r>
    </w:p>
    <w:p w14:paraId="348BBBCF" w14:textId="77777777" w:rsidR="00F96AF9" w:rsidRDefault="00F96AF9" w:rsidP="00F96AF9">
      <w:pPr>
        <w:ind w:left="720" w:right="-1191"/>
      </w:pPr>
    </w:p>
    <w:p w14:paraId="6FB0BD2D" w14:textId="77777777" w:rsidR="00F96AF9" w:rsidRDefault="00F96AF9" w:rsidP="00F96AF9">
      <w:pPr>
        <w:ind w:left="720" w:right="-1191"/>
        <w:rPr>
          <w:b/>
        </w:rPr>
      </w:pPr>
      <w:r w:rsidRPr="003A5F35">
        <w:rPr>
          <w:b/>
        </w:rPr>
        <w:t>Miljøstyrelsens svar:</w:t>
      </w:r>
    </w:p>
    <w:p w14:paraId="6A566467" w14:textId="1C7A3A77" w:rsidR="00F96AF9" w:rsidRDefault="00F96AF9" w:rsidP="00F96AF9">
      <w:pPr>
        <w:ind w:left="720" w:right="-1191"/>
      </w:pPr>
      <w:r w:rsidRPr="00F02141">
        <w:rPr>
          <w:b/>
        </w:rPr>
        <w:t xml:space="preserve">Ad </w:t>
      </w:r>
      <w:r>
        <w:rPr>
          <w:b/>
        </w:rPr>
        <w:t>1</w:t>
      </w:r>
      <w:r w:rsidRPr="00F02141">
        <w:t xml:space="preserve">. </w:t>
      </w:r>
      <w:proofErr w:type="gramStart"/>
      <w:r w:rsidR="000D3A92" w:rsidRPr="001260EC">
        <w:rPr>
          <w:highlight w:val="yellow"/>
        </w:rPr>
        <w:t>N,N</w:t>
      </w:r>
      <w:proofErr w:type="gramEnd"/>
      <w:r w:rsidR="000D3A92" w:rsidRPr="001260EC">
        <w:rPr>
          <w:highlight w:val="yellow"/>
        </w:rPr>
        <w:t>-</w:t>
      </w:r>
      <w:proofErr w:type="spellStart"/>
      <w:r w:rsidR="000D3A92" w:rsidRPr="001260EC">
        <w:rPr>
          <w:highlight w:val="yellow"/>
        </w:rPr>
        <w:t>dimethylsulfamidsyre</w:t>
      </w:r>
      <w:proofErr w:type="spellEnd"/>
      <w:r w:rsidR="000D3A92" w:rsidRPr="001260EC">
        <w:rPr>
          <w:highlight w:val="yellow"/>
        </w:rPr>
        <w:t xml:space="preserve"> (DMSA) tilføjes bilag 1.4 med en note om implementeringsfrist. De tre pesticider; CGA 42447, DEET og DMSA tilføjes desuden bilag 1.3 med en implementeringsfrist</w:t>
      </w:r>
      <w:r w:rsidR="000D3A92">
        <w:t>. Pesticiderne var inkluderet under det generelle krav til ”</w:t>
      </w:r>
      <w:r w:rsidR="000D3A92" w:rsidRPr="000D3A92">
        <w:t xml:space="preserve"> Øvrige pesticider og nedbrydnings- produkter fra pesticider, der er anført ved stofnavn i bekendtgørelse om vandkvalitet og tilsyn med vandfor-syningsanlæg, bilag 2</w:t>
      </w:r>
      <w:r w:rsidR="000D3A92">
        <w:t>”, men behovet for en implementeringsfrist gør, at de nu oplistes særskilt ved navn.</w:t>
      </w:r>
    </w:p>
    <w:p w14:paraId="0F56A368" w14:textId="52D0D6BD" w:rsidR="00F96AF9" w:rsidRPr="002E7A37" w:rsidRDefault="00F96AF9" w:rsidP="00C702AD">
      <w:pPr>
        <w:ind w:left="720" w:right="-1191"/>
      </w:pPr>
      <w:r>
        <w:rPr>
          <w:b/>
        </w:rPr>
        <w:t>Ad 2</w:t>
      </w:r>
      <w:r w:rsidR="00C702AD">
        <w:rPr>
          <w:b/>
        </w:rPr>
        <w:t xml:space="preserve">. </w:t>
      </w:r>
      <w:r w:rsidR="00C702AD" w:rsidRPr="002E7A37">
        <w:t xml:space="preserve">Det gældende metodedatablad for M068 blev opdateret d. 22. februar 2024, hvor det blev tilføjet, at ”Resultaterne for </w:t>
      </w:r>
      <w:proofErr w:type="gramStart"/>
      <w:r w:rsidR="00C702AD" w:rsidRPr="002E7A37">
        <w:t>PFAS forbindelserne</w:t>
      </w:r>
      <w:proofErr w:type="gramEnd"/>
      <w:r w:rsidR="00C702AD" w:rsidRPr="002E7A37">
        <w:t xml:space="preserve"> skal afrapporteres som en sum af </w:t>
      </w:r>
      <w:proofErr w:type="spellStart"/>
      <w:r w:rsidR="00C702AD" w:rsidRPr="002E7A37">
        <w:t>isomere</w:t>
      </w:r>
      <w:proofErr w:type="spellEnd"/>
      <w:r w:rsidR="002E7A37" w:rsidRPr="002E7A37">
        <w:t xml:space="preserve"> </w:t>
      </w:r>
      <w:r w:rsidR="00C702AD" w:rsidRPr="002E7A37">
        <w:t>(forgrenede og lineære).</w:t>
      </w:r>
      <w:r w:rsidR="002E7A37" w:rsidRPr="002E7A37">
        <w:t xml:space="preserve">” Et udkast på M068 med et metodekrav til måling af sum af PFAS, forventes sendt i offentlig høring inden </w:t>
      </w:r>
      <w:r w:rsidR="009A32B0">
        <w:t>sommerferien</w:t>
      </w:r>
      <w:r w:rsidR="002E7A37" w:rsidRPr="002E7A37">
        <w:t xml:space="preserve"> 2024. </w:t>
      </w:r>
    </w:p>
    <w:p w14:paraId="09C7740C" w14:textId="0F95560E" w:rsidR="00F96AF9" w:rsidRDefault="00F96AF9" w:rsidP="00F96AF9">
      <w:pPr>
        <w:ind w:left="720" w:right="-1191"/>
        <w:rPr>
          <w:b/>
        </w:rPr>
      </w:pPr>
      <w:r>
        <w:rPr>
          <w:b/>
        </w:rPr>
        <w:t>Ad 3</w:t>
      </w:r>
      <w:r w:rsidR="007063C7">
        <w:rPr>
          <w:b/>
        </w:rPr>
        <w:t xml:space="preserve">. </w:t>
      </w:r>
      <w:r w:rsidR="007063C7" w:rsidRPr="00E939BD">
        <w:rPr>
          <w:highlight w:val="yellow"/>
        </w:rPr>
        <w:t xml:space="preserve">Bekendtgørelsen forventes at træde kraft d. 1. juli 2024, </w:t>
      </w:r>
      <w:r w:rsidR="009F7FC2">
        <w:rPr>
          <w:highlight w:val="yellow"/>
        </w:rPr>
        <w:t>samtidig med</w:t>
      </w:r>
      <w:r w:rsidR="009F7FC2" w:rsidRPr="00E939BD">
        <w:rPr>
          <w:highlight w:val="yellow"/>
        </w:rPr>
        <w:t xml:space="preserve"> </w:t>
      </w:r>
      <w:r w:rsidR="007063C7" w:rsidRPr="00E939BD">
        <w:rPr>
          <w:highlight w:val="yellow"/>
        </w:rPr>
        <w:t>Drikkevandsbekendtgørelsen. Dette er tilføjet</w:t>
      </w:r>
      <w:r w:rsidR="007063C7" w:rsidRPr="007063C7">
        <w:t>.</w:t>
      </w:r>
    </w:p>
    <w:p w14:paraId="43BBAABB" w14:textId="0099D8BF" w:rsidR="00F96AF9" w:rsidRPr="00FA2818" w:rsidRDefault="00F96AF9" w:rsidP="00F96AF9">
      <w:pPr>
        <w:ind w:left="720" w:right="-1191"/>
      </w:pPr>
      <w:r>
        <w:rPr>
          <w:b/>
        </w:rPr>
        <w:t>Ad 4</w:t>
      </w:r>
      <w:r w:rsidR="009A32B0">
        <w:rPr>
          <w:b/>
        </w:rPr>
        <w:t xml:space="preserve">. </w:t>
      </w:r>
      <w:r w:rsidR="00FA2818" w:rsidRPr="00FA2818">
        <w:t>Vurdering af de økonomiske konsekvenser for kommunerne, som følge af ændringer til analysebekendtgørelsen vil foregå gennem økonomisk forhandling med KL</w:t>
      </w:r>
      <w:r w:rsidR="00FA2818">
        <w:t>. DUT-høringen er igangværende og håndteres af departementet.</w:t>
      </w:r>
    </w:p>
    <w:p w14:paraId="78C1FE44" w14:textId="3428622D" w:rsidR="00195682" w:rsidRDefault="00195682" w:rsidP="00F96AF9">
      <w:pPr>
        <w:ind w:left="720" w:right="-1191"/>
        <w:rPr>
          <w:b/>
        </w:rPr>
      </w:pPr>
    </w:p>
    <w:p w14:paraId="0C4B19D7" w14:textId="77777777" w:rsidR="00195682" w:rsidRDefault="00195682" w:rsidP="00F96AF9">
      <w:pPr>
        <w:ind w:left="720" w:right="-1191"/>
      </w:pPr>
    </w:p>
    <w:p w14:paraId="67621B4C" w14:textId="7AA07A10" w:rsidR="00195682" w:rsidRDefault="00195682" w:rsidP="00195682">
      <w:pPr>
        <w:pStyle w:val="Opstilling-punkttegn"/>
        <w:numPr>
          <w:ilvl w:val="0"/>
          <w:numId w:val="15"/>
        </w:numPr>
        <w:ind w:right="-1191"/>
        <w:rPr>
          <w:b/>
        </w:rPr>
      </w:pPr>
      <w:r>
        <w:rPr>
          <w:b/>
        </w:rPr>
        <w:t>DANVA</w:t>
      </w:r>
    </w:p>
    <w:p w14:paraId="39B063C6" w14:textId="467FB4BB" w:rsidR="00195682" w:rsidRDefault="00195682" w:rsidP="00461761">
      <w:pPr>
        <w:pStyle w:val="Opstilling-punkttegn"/>
        <w:numPr>
          <w:ilvl w:val="0"/>
          <w:numId w:val="0"/>
        </w:numPr>
        <w:ind w:left="720" w:right="-1191"/>
        <w:rPr>
          <w:i/>
        </w:rPr>
      </w:pPr>
      <w:r>
        <w:rPr>
          <w:i/>
        </w:rPr>
        <w:t>DANVA</w:t>
      </w:r>
      <w:r w:rsidRPr="00E82465">
        <w:rPr>
          <w:i/>
        </w:rPr>
        <w:t xml:space="preserve"> har nedenstående høringssvar:</w:t>
      </w:r>
    </w:p>
    <w:p w14:paraId="2C453BAF" w14:textId="311A373D" w:rsidR="00195682" w:rsidRDefault="00195682" w:rsidP="00461761">
      <w:pPr>
        <w:pStyle w:val="Opstilling-punkttegn"/>
        <w:numPr>
          <w:ilvl w:val="0"/>
          <w:numId w:val="0"/>
        </w:numPr>
        <w:ind w:left="720" w:right="-1191"/>
        <w:rPr>
          <w:i/>
        </w:rPr>
      </w:pPr>
    </w:p>
    <w:p w14:paraId="70A8BFEA" w14:textId="77777777" w:rsidR="00195682" w:rsidRPr="00461761" w:rsidRDefault="00195682" w:rsidP="00461761">
      <w:pPr>
        <w:pStyle w:val="Opstilling-punkttegn"/>
        <w:numPr>
          <w:ilvl w:val="0"/>
          <w:numId w:val="0"/>
        </w:numPr>
        <w:ind w:left="720" w:right="-1191"/>
        <w:rPr>
          <w:i/>
        </w:rPr>
      </w:pPr>
      <w:r w:rsidRPr="00461761">
        <w:rPr>
          <w:i/>
        </w:rPr>
        <w:t>PFAS – isomerer, DMSA og detektionsgrænser</w:t>
      </w:r>
    </w:p>
    <w:p w14:paraId="2980A2B5" w14:textId="0F81FDE0" w:rsidR="00195682" w:rsidRPr="00461761" w:rsidRDefault="00195682" w:rsidP="00461761">
      <w:pPr>
        <w:pStyle w:val="Opstilling-punkttegn"/>
        <w:numPr>
          <w:ilvl w:val="0"/>
          <w:numId w:val="22"/>
        </w:numPr>
        <w:ind w:right="-1191"/>
        <w:rPr>
          <w:i/>
        </w:rPr>
      </w:pPr>
      <w:r w:rsidRPr="00461761">
        <w:rPr>
          <w:i/>
        </w:rPr>
        <w:t xml:space="preserve">Der mangler en præcisering af ”Sum af PFOS, PFOS, PFNA og </w:t>
      </w:r>
      <w:proofErr w:type="spellStart"/>
      <w:r w:rsidRPr="00461761">
        <w:rPr>
          <w:i/>
        </w:rPr>
        <w:t>PFHxS</w:t>
      </w:r>
      <w:proofErr w:type="spellEnd"/>
      <w:r w:rsidRPr="00461761">
        <w:rPr>
          <w:i/>
        </w:rPr>
        <w:t>” (en note a la den for Sum af 22 PFAS, se note 19).</w:t>
      </w:r>
    </w:p>
    <w:p w14:paraId="4FF98544" w14:textId="02C3B524" w:rsidR="00195682" w:rsidRPr="00461761" w:rsidRDefault="00195682" w:rsidP="00461761">
      <w:pPr>
        <w:pStyle w:val="Opstilling-punkttegn"/>
        <w:numPr>
          <w:ilvl w:val="0"/>
          <w:numId w:val="22"/>
        </w:numPr>
        <w:ind w:right="-1191"/>
        <w:rPr>
          <w:i/>
        </w:rPr>
      </w:pPr>
      <w:r w:rsidRPr="00461761">
        <w:rPr>
          <w:i/>
        </w:rPr>
        <w:t xml:space="preserve">Der bør for alle stoffer og summer i bilag 1 angives en </w:t>
      </w:r>
      <w:proofErr w:type="spellStart"/>
      <w:r w:rsidRPr="00461761">
        <w:rPr>
          <w:i/>
        </w:rPr>
        <w:t>scankode</w:t>
      </w:r>
      <w:proofErr w:type="spellEnd"/>
      <w:r w:rsidRPr="00461761">
        <w:rPr>
          <w:i/>
        </w:rPr>
        <w:t xml:space="preserve"> (</w:t>
      </w:r>
      <w:proofErr w:type="spellStart"/>
      <w:r w:rsidRPr="00461761">
        <w:rPr>
          <w:i/>
        </w:rPr>
        <w:t>Sckode</w:t>
      </w:r>
      <w:proofErr w:type="spellEnd"/>
      <w:r w:rsidRPr="00461761">
        <w:rPr>
          <w:i/>
        </w:rPr>
        <w:t>), bl.a. for de 2 PFAS</w:t>
      </w:r>
      <w:r w:rsidR="00461761">
        <w:rPr>
          <w:i/>
        </w:rPr>
        <w:t xml:space="preserve"> </w:t>
      </w:r>
      <w:r w:rsidRPr="00461761">
        <w:rPr>
          <w:i/>
        </w:rPr>
        <w:t>summe:</w:t>
      </w:r>
    </w:p>
    <w:p w14:paraId="327A5CD1" w14:textId="77777777" w:rsidR="00195682" w:rsidRPr="00461761" w:rsidRDefault="00195682" w:rsidP="00461761">
      <w:pPr>
        <w:pStyle w:val="Opstilling-punkttegn"/>
        <w:numPr>
          <w:ilvl w:val="0"/>
          <w:numId w:val="0"/>
        </w:numPr>
        <w:ind w:left="720" w:right="-1191" w:firstLine="360"/>
        <w:rPr>
          <w:i/>
        </w:rPr>
      </w:pPr>
      <w:r w:rsidRPr="00461761">
        <w:rPr>
          <w:i/>
        </w:rPr>
        <w:t xml:space="preserve">Sum af PFOS, PFOS, PFNA og </w:t>
      </w:r>
      <w:proofErr w:type="spellStart"/>
      <w:r w:rsidRPr="00461761">
        <w:rPr>
          <w:i/>
        </w:rPr>
        <w:t>PFHxS</w:t>
      </w:r>
      <w:proofErr w:type="spellEnd"/>
      <w:r w:rsidRPr="00461761">
        <w:rPr>
          <w:i/>
        </w:rPr>
        <w:t xml:space="preserve"> lineære og forgrenede</w:t>
      </w:r>
    </w:p>
    <w:p w14:paraId="1B4792F9" w14:textId="77777777" w:rsidR="00195682" w:rsidRPr="00461761" w:rsidRDefault="00195682" w:rsidP="00461761">
      <w:pPr>
        <w:pStyle w:val="Opstilling-punkttegn"/>
        <w:numPr>
          <w:ilvl w:val="0"/>
          <w:numId w:val="0"/>
        </w:numPr>
        <w:ind w:left="720" w:right="-1191" w:firstLine="360"/>
        <w:rPr>
          <w:i/>
        </w:rPr>
      </w:pPr>
      <w:r w:rsidRPr="00461761">
        <w:rPr>
          <w:i/>
        </w:rPr>
        <w:t xml:space="preserve">Sum af 22 PFAS </w:t>
      </w:r>
      <w:proofErr w:type="spellStart"/>
      <w:r w:rsidRPr="00461761">
        <w:rPr>
          <w:i/>
        </w:rPr>
        <w:t>linerære</w:t>
      </w:r>
      <w:proofErr w:type="spellEnd"/>
      <w:r w:rsidRPr="00461761">
        <w:rPr>
          <w:i/>
        </w:rPr>
        <w:t xml:space="preserve"> og forgrenede</w:t>
      </w:r>
    </w:p>
    <w:p w14:paraId="19B7F0C4" w14:textId="36C5A615" w:rsidR="00195682" w:rsidRPr="00461761" w:rsidRDefault="00195682" w:rsidP="00461761">
      <w:pPr>
        <w:pStyle w:val="Opstilling-punkttegn"/>
        <w:numPr>
          <w:ilvl w:val="0"/>
          <w:numId w:val="22"/>
        </w:numPr>
        <w:ind w:right="-1191"/>
        <w:rPr>
          <w:i/>
        </w:rPr>
      </w:pPr>
      <w:r w:rsidRPr="00461761">
        <w:rPr>
          <w:i/>
        </w:rPr>
        <w:t>Der efterspørges også CAS nr. for de forgrenede stoffer, der kan analyseres for. Ellers er analysen</w:t>
      </w:r>
      <w:r w:rsidR="001B0B9D" w:rsidRPr="00461761">
        <w:rPr>
          <w:i/>
        </w:rPr>
        <w:t xml:space="preserve"> </w:t>
      </w:r>
      <w:r w:rsidRPr="00461761">
        <w:rPr>
          <w:i/>
        </w:rPr>
        <w:t>ukonkret og resultater kan ikke sammenlignes.</w:t>
      </w:r>
    </w:p>
    <w:p w14:paraId="55C5FD1F" w14:textId="28D8A0D1" w:rsidR="00195682" w:rsidRPr="00461761" w:rsidRDefault="00195682" w:rsidP="00461761">
      <w:pPr>
        <w:pStyle w:val="Opstilling-punkttegn"/>
        <w:numPr>
          <w:ilvl w:val="0"/>
          <w:numId w:val="22"/>
        </w:numPr>
        <w:ind w:right="-1191"/>
        <w:rPr>
          <w:i/>
        </w:rPr>
      </w:pPr>
      <w:r w:rsidRPr="00461761">
        <w:rPr>
          <w:i/>
        </w:rPr>
        <w:t xml:space="preserve">Der er sat et meget lavt kriterie for pesticidnedbrydningsproduktet </w:t>
      </w:r>
      <w:proofErr w:type="gramStart"/>
      <w:r w:rsidRPr="00461761">
        <w:rPr>
          <w:i/>
        </w:rPr>
        <w:t>N,N</w:t>
      </w:r>
      <w:proofErr w:type="gramEnd"/>
      <w:r w:rsidRPr="00461761">
        <w:rPr>
          <w:i/>
        </w:rPr>
        <w:t>-</w:t>
      </w:r>
      <w:proofErr w:type="spellStart"/>
      <w:r w:rsidRPr="00461761">
        <w:rPr>
          <w:i/>
        </w:rPr>
        <w:t>dimethylsulfamidsyre</w:t>
      </w:r>
      <w:proofErr w:type="spellEnd"/>
      <w:r w:rsidR="001B0B9D" w:rsidRPr="00461761">
        <w:rPr>
          <w:i/>
        </w:rPr>
        <w:t xml:space="preserve"> </w:t>
      </w:r>
      <w:r w:rsidRPr="00461761">
        <w:rPr>
          <w:i/>
        </w:rPr>
        <w:t xml:space="preserve">(DMSA) på 0,01 </w:t>
      </w:r>
      <w:proofErr w:type="spellStart"/>
      <w:r w:rsidRPr="00461761">
        <w:rPr>
          <w:i/>
        </w:rPr>
        <w:t>μg</w:t>
      </w:r>
      <w:proofErr w:type="spellEnd"/>
      <w:r w:rsidRPr="00461761">
        <w:rPr>
          <w:i/>
        </w:rPr>
        <w:t>/l. Ifølge vores oplysninger kan laboratorierne ikke levere den tilstrækkelige</w:t>
      </w:r>
      <w:r w:rsidR="001B0B9D" w:rsidRPr="00461761">
        <w:rPr>
          <w:i/>
        </w:rPr>
        <w:t xml:space="preserve"> </w:t>
      </w:r>
      <w:r w:rsidRPr="00461761">
        <w:rPr>
          <w:i/>
        </w:rPr>
        <w:t xml:space="preserve">lave detektionsgrænse på 0,001 </w:t>
      </w:r>
      <w:proofErr w:type="spellStart"/>
      <w:r w:rsidRPr="00461761">
        <w:rPr>
          <w:i/>
        </w:rPr>
        <w:t>μg</w:t>
      </w:r>
      <w:proofErr w:type="spellEnd"/>
      <w:r w:rsidRPr="00461761">
        <w:rPr>
          <w:i/>
        </w:rPr>
        <w:t>/l.</w:t>
      </w:r>
    </w:p>
    <w:p w14:paraId="2A654983" w14:textId="6128081A" w:rsidR="0022146D" w:rsidRDefault="0022146D" w:rsidP="00195682">
      <w:pPr>
        <w:pStyle w:val="Opstilling-punkttegn"/>
        <w:numPr>
          <w:ilvl w:val="0"/>
          <w:numId w:val="0"/>
        </w:numPr>
        <w:ind w:left="720"/>
      </w:pPr>
    </w:p>
    <w:p w14:paraId="3FB9FC6C" w14:textId="77777777" w:rsidR="0022146D" w:rsidRDefault="0022146D" w:rsidP="0022146D">
      <w:pPr>
        <w:ind w:left="720" w:right="-1191"/>
        <w:rPr>
          <w:b/>
        </w:rPr>
      </w:pPr>
      <w:r w:rsidRPr="003A5F35">
        <w:rPr>
          <w:b/>
        </w:rPr>
        <w:t>Miljøstyrelsens svar:</w:t>
      </w:r>
    </w:p>
    <w:p w14:paraId="5D158244" w14:textId="754727EB" w:rsidR="0022146D" w:rsidRDefault="0022146D" w:rsidP="0022146D">
      <w:pPr>
        <w:ind w:left="720" w:right="-1191"/>
      </w:pPr>
      <w:r w:rsidRPr="00F02141">
        <w:rPr>
          <w:b/>
        </w:rPr>
        <w:t xml:space="preserve">Ad </w:t>
      </w:r>
      <w:r>
        <w:rPr>
          <w:b/>
        </w:rPr>
        <w:t>1</w:t>
      </w:r>
      <w:r w:rsidRPr="00F02141">
        <w:t xml:space="preserve">. </w:t>
      </w:r>
      <w:r w:rsidR="00461761">
        <w:t>Spørgsmålet er til Drikkevandsbekendtgørelsen, og videresendt</w:t>
      </w:r>
      <w:r w:rsidR="00CB7311">
        <w:t xml:space="preserve"> til relevante</w:t>
      </w:r>
      <w:r w:rsidR="00461761">
        <w:t>.</w:t>
      </w:r>
    </w:p>
    <w:p w14:paraId="0E7A1D2C" w14:textId="77777777" w:rsidR="00CB7311" w:rsidRDefault="0022146D" w:rsidP="00CB7311">
      <w:pPr>
        <w:ind w:left="720" w:right="-1191"/>
      </w:pPr>
      <w:r>
        <w:rPr>
          <w:b/>
        </w:rPr>
        <w:lastRenderedPageBreak/>
        <w:t>Ad 2</w:t>
      </w:r>
      <w:r w:rsidR="00CB7311">
        <w:rPr>
          <w:b/>
        </w:rPr>
        <w:t xml:space="preserve">. </w:t>
      </w:r>
      <w:r w:rsidR="00CB7311">
        <w:t>Spørgsmålet er til Drikkevandsbekendtgørelsen, og videresendt til relevante.</w:t>
      </w:r>
    </w:p>
    <w:p w14:paraId="0C0C5F19" w14:textId="77777777" w:rsidR="00CB7311" w:rsidRDefault="0022146D" w:rsidP="00CB7311">
      <w:pPr>
        <w:ind w:left="720" w:right="-1191"/>
      </w:pPr>
      <w:r>
        <w:rPr>
          <w:b/>
        </w:rPr>
        <w:t>Ad 3</w:t>
      </w:r>
      <w:r w:rsidR="00CB7311">
        <w:rPr>
          <w:b/>
        </w:rPr>
        <w:t xml:space="preserve">. </w:t>
      </w:r>
      <w:r w:rsidR="00CB7311">
        <w:t>Spørgsmålet er til Drikkevandsbekendtgørelsen, og videresendt til relevante.</w:t>
      </w:r>
    </w:p>
    <w:p w14:paraId="30AEAD0E" w14:textId="7633CBFB" w:rsidR="00973960" w:rsidRPr="00973960" w:rsidRDefault="0022146D" w:rsidP="00973960">
      <w:pPr>
        <w:ind w:left="720" w:right="-1191"/>
        <w:rPr>
          <w:highlight w:val="yellow"/>
        </w:rPr>
      </w:pPr>
      <w:r>
        <w:rPr>
          <w:b/>
        </w:rPr>
        <w:t>Ad 4</w:t>
      </w:r>
      <w:r w:rsidR="00CB7311">
        <w:rPr>
          <w:b/>
        </w:rPr>
        <w:t xml:space="preserve">. </w:t>
      </w:r>
      <w:r w:rsidR="00CB7311" w:rsidRPr="00CB7311">
        <w:t>Detektionsgrænsen for DMSA er i bil</w:t>
      </w:r>
      <w:r w:rsidR="00CB7311">
        <w:t>ag 1.3 og 1.4 sat til 0,01 µg/L, som er hvad laboratorierne kan levere</w:t>
      </w:r>
      <w:r w:rsidR="00CB7311" w:rsidRPr="00CB7311">
        <w:t>.</w:t>
      </w:r>
      <w:r w:rsidR="00973960">
        <w:t xml:space="preserve"> </w:t>
      </w:r>
      <w:r w:rsidR="00973960" w:rsidRPr="00973960">
        <w:rPr>
          <w:highlight w:val="yellow"/>
        </w:rPr>
        <w:t xml:space="preserve">DMSA er tilføjet en note i bilag 1.4: </w:t>
      </w:r>
      <w:r w:rsidR="00001E87">
        <w:rPr>
          <w:highlight w:val="yellow"/>
        </w:rPr>
        <w:t>”</w:t>
      </w:r>
      <w:r w:rsidR="00973960" w:rsidRPr="00973960">
        <w:rPr>
          <w:highlight w:val="yellow"/>
        </w:rPr>
        <w:t xml:space="preserve">Detektionsgrænsen er den samme som kvalitetskravet til drikkevand, og på sigt ønskes kravet til </w:t>
      </w:r>
    </w:p>
    <w:p w14:paraId="0AE65A15" w14:textId="41945184" w:rsidR="0022146D" w:rsidRDefault="00973960" w:rsidP="00973960">
      <w:pPr>
        <w:ind w:left="720" w:right="-1191"/>
        <w:rPr>
          <w:b/>
        </w:rPr>
      </w:pPr>
      <w:r w:rsidRPr="00973960">
        <w:rPr>
          <w:highlight w:val="yellow"/>
        </w:rPr>
        <w:t>detektionsgrænsen skærpet</w:t>
      </w:r>
      <w:r>
        <w:t>.</w:t>
      </w:r>
      <w:r w:rsidR="00001E87">
        <w:t>”</w:t>
      </w:r>
    </w:p>
    <w:p w14:paraId="57CBC913" w14:textId="77777777" w:rsidR="0022146D" w:rsidRPr="00E82465" w:rsidRDefault="0022146D" w:rsidP="00195682">
      <w:pPr>
        <w:pStyle w:val="Opstilling-punkttegn"/>
        <w:numPr>
          <w:ilvl w:val="0"/>
          <w:numId w:val="0"/>
        </w:numPr>
        <w:ind w:left="720"/>
      </w:pPr>
    </w:p>
    <w:p w14:paraId="7977A368" w14:textId="77777777" w:rsidR="00195682" w:rsidRDefault="00195682" w:rsidP="00195682">
      <w:pPr>
        <w:pStyle w:val="Opstilling-punkttegn"/>
        <w:numPr>
          <w:ilvl w:val="0"/>
          <w:numId w:val="0"/>
        </w:numPr>
        <w:ind w:left="454" w:right="-1191" w:hanging="454"/>
        <w:rPr>
          <w:b/>
        </w:rPr>
      </w:pPr>
    </w:p>
    <w:p w14:paraId="2AD53F0E" w14:textId="54994707" w:rsidR="00195682" w:rsidRDefault="00195682" w:rsidP="00195682">
      <w:pPr>
        <w:pStyle w:val="Opstilling-punkttegn"/>
        <w:numPr>
          <w:ilvl w:val="0"/>
          <w:numId w:val="15"/>
        </w:numPr>
        <w:ind w:right="-1191"/>
        <w:rPr>
          <w:b/>
        </w:rPr>
      </w:pPr>
      <w:r>
        <w:rPr>
          <w:b/>
        </w:rPr>
        <w:t>GEUS</w:t>
      </w:r>
    </w:p>
    <w:p w14:paraId="1746ADB7" w14:textId="2CF50017" w:rsidR="00FA3A85" w:rsidRDefault="00FA3A85" w:rsidP="00FA3A85">
      <w:pPr>
        <w:pStyle w:val="Opstilling-punkttegn"/>
        <w:numPr>
          <w:ilvl w:val="0"/>
          <w:numId w:val="0"/>
        </w:numPr>
        <w:ind w:left="720" w:right="-1191"/>
        <w:rPr>
          <w:b/>
        </w:rPr>
      </w:pPr>
      <w:r>
        <w:rPr>
          <w:i/>
        </w:rPr>
        <w:t xml:space="preserve">GEUS </w:t>
      </w:r>
      <w:r w:rsidRPr="00E82465">
        <w:rPr>
          <w:i/>
        </w:rPr>
        <w:t>har nedenstående høringssvar:</w:t>
      </w:r>
    </w:p>
    <w:p w14:paraId="5ACF4FBC" w14:textId="77777777" w:rsidR="00FA3A85" w:rsidRPr="00461B96" w:rsidRDefault="00FA3A85" w:rsidP="00FA3A85">
      <w:pPr>
        <w:pStyle w:val="Overskrift1"/>
        <w:numPr>
          <w:ilvl w:val="0"/>
          <w:numId w:val="21"/>
        </w:numPr>
        <w:ind w:right="-1191"/>
        <w:rPr>
          <w:b w:val="0"/>
          <w:i/>
        </w:rPr>
      </w:pPr>
      <w:r w:rsidRPr="00461B96">
        <w:rPr>
          <w:b w:val="0"/>
          <w:i/>
        </w:rPr>
        <w:t xml:space="preserve">Tabel 1.12: Overvågning af marint sediment – der </w:t>
      </w:r>
      <w:proofErr w:type="gramStart"/>
      <w:r w:rsidRPr="00461B96">
        <w:rPr>
          <w:b w:val="0"/>
          <w:i/>
        </w:rPr>
        <w:t>skrive</w:t>
      </w:r>
      <w:proofErr w:type="gramEnd"/>
      <w:r w:rsidRPr="00461B96">
        <w:rPr>
          <w:b w:val="0"/>
          <w:i/>
        </w:rPr>
        <w:t xml:space="preserve"> ’</w:t>
      </w:r>
      <w:proofErr w:type="spellStart"/>
      <w:r w:rsidRPr="00461B96">
        <w:rPr>
          <w:b w:val="0"/>
          <w:i/>
        </w:rPr>
        <w:t>Pesti-cider</w:t>
      </w:r>
      <w:proofErr w:type="spellEnd"/>
      <w:r w:rsidRPr="00461B96">
        <w:rPr>
          <w:b w:val="0"/>
          <w:i/>
        </w:rPr>
        <w:t xml:space="preserve"> **)’ i tabellen, men de to ’**’ mangler fodnote/forklaring under tabellen.</w:t>
      </w:r>
    </w:p>
    <w:p w14:paraId="2A6F9C79" w14:textId="77777777" w:rsidR="00FA3A85" w:rsidRPr="00461B96" w:rsidRDefault="00FA3A85" w:rsidP="00FA3A85">
      <w:pPr>
        <w:pStyle w:val="Overskrift1"/>
        <w:ind w:left="1080" w:right="-1191"/>
        <w:rPr>
          <w:b w:val="0"/>
          <w:i/>
        </w:rPr>
      </w:pPr>
    </w:p>
    <w:p w14:paraId="11918E85" w14:textId="7564E48E" w:rsidR="00730F9B" w:rsidRPr="00461B96" w:rsidRDefault="00FA3A85" w:rsidP="00FA3A85">
      <w:pPr>
        <w:pStyle w:val="Overskrift1"/>
        <w:numPr>
          <w:ilvl w:val="0"/>
          <w:numId w:val="21"/>
        </w:numPr>
        <w:ind w:right="-1191"/>
        <w:rPr>
          <w:b w:val="0"/>
          <w:i/>
        </w:rPr>
      </w:pPr>
      <w:r w:rsidRPr="00461B96">
        <w:rPr>
          <w:b w:val="0"/>
          <w:i/>
        </w:rPr>
        <w:t xml:space="preserve">Tabel. 1.15: Overvågning af jordvand, drænvand m.m. Det bemærkes, at der ingen kvalitetskrav er til drænvand ud over </w:t>
      </w:r>
      <w:proofErr w:type="spellStart"/>
      <w:r w:rsidRPr="00461B96">
        <w:rPr>
          <w:b w:val="0"/>
          <w:i/>
        </w:rPr>
        <w:t>alkalinitet</w:t>
      </w:r>
      <w:proofErr w:type="spellEnd"/>
      <w:r w:rsidRPr="00461B96">
        <w:rPr>
          <w:b w:val="0"/>
          <w:i/>
        </w:rPr>
        <w:t xml:space="preserve"> </w:t>
      </w:r>
      <w:proofErr w:type="spellStart"/>
      <w:r w:rsidRPr="00461B96">
        <w:rPr>
          <w:b w:val="0"/>
          <w:i/>
        </w:rPr>
        <w:t>etc</w:t>
      </w:r>
      <w:proofErr w:type="spellEnd"/>
      <w:r w:rsidRPr="00461B96">
        <w:rPr>
          <w:b w:val="0"/>
          <w:i/>
        </w:rPr>
        <w:t xml:space="preserve">, N, P, K, </w:t>
      </w:r>
      <w:proofErr w:type="spellStart"/>
      <w:r w:rsidRPr="00461B96">
        <w:rPr>
          <w:b w:val="0"/>
          <w:i/>
        </w:rPr>
        <w:t>Ca</w:t>
      </w:r>
      <w:proofErr w:type="spellEnd"/>
      <w:r w:rsidRPr="00461B96">
        <w:rPr>
          <w:b w:val="0"/>
          <w:i/>
        </w:rPr>
        <w:t>, Mg, Cl-, SO42-. Der er således ikke krav til hverken pesticider eller uorganiske sporstoffer, hvilket kan forekomme ufuldstændigt – særligt i betragtning af, at drænvand ofte indeholder om end betragtelige mængder pesticidstoffer.</w:t>
      </w:r>
    </w:p>
    <w:p w14:paraId="277EC6BB" w14:textId="6F48BE1E" w:rsidR="0022146D" w:rsidRDefault="0022146D" w:rsidP="0022146D"/>
    <w:p w14:paraId="66A171E2" w14:textId="77777777" w:rsidR="0022146D" w:rsidRDefault="0022146D" w:rsidP="0022146D">
      <w:pPr>
        <w:ind w:left="720" w:right="-1191"/>
        <w:rPr>
          <w:b/>
        </w:rPr>
      </w:pPr>
      <w:r w:rsidRPr="003A5F35">
        <w:rPr>
          <w:b/>
        </w:rPr>
        <w:t>Miljøstyrelsens svar:</w:t>
      </w:r>
    </w:p>
    <w:p w14:paraId="5A9ACEC1" w14:textId="28A9056D" w:rsidR="0022146D" w:rsidRDefault="0022146D" w:rsidP="0022146D">
      <w:pPr>
        <w:ind w:left="720" w:right="-1191"/>
      </w:pPr>
      <w:r w:rsidRPr="00F02141">
        <w:rPr>
          <w:b/>
        </w:rPr>
        <w:t xml:space="preserve">Ad </w:t>
      </w:r>
      <w:r>
        <w:rPr>
          <w:b/>
        </w:rPr>
        <w:t>1</w:t>
      </w:r>
      <w:r w:rsidRPr="00F02141">
        <w:t xml:space="preserve">. </w:t>
      </w:r>
      <w:r w:rsidR="00CC4E8D">
        <w:t>Notehenvisningen er slettet, da den refererede til at ”</w:t>
      </w:r>
      <w:r w:rsidR="00CC4E8D" w:rsidRPr="00CC4E8D">
        <w:t>Krav gælder for hver enkelt komponent</w:t>
      </w:r>
      <w:r w:rsidR="00CC4E8D">
        <w:t>” og dette er skrevet ind i Bilag 1, 1.0 Definitioner.</w:t>
      </w:r>
    </w:p>
    <w:p w14:paraId="7FFAB247" w14:textId="33D854F4" w:rsidR="0022146D" w:rsidRPr="00BA6BEC" w:rsidRDefault="0022146D" w:rsidP="0022146D">
      <w:pPr>
        <w:ind w:left="720" w:right="-1191"/>
      </w:pPr>
      <w:r>
        <w:rPr>
          <w:b/>
        </w:rPr>
        <w:t>Ad 2</w:t>
      </w:r>
      <w:r w:rsidR="00BA6BEC">
        <w:rPr>
          <w:b/>
        </w:rPr>
        <w:t xml:space="preserve">. </w:t>
      </w:r>
      <w:r w:rsidR="00BA6BEC" w:rsidRPr="00BA6BEC">
        <w:t xml:space="preserve">Miljøstyrelsen vil tage kontakt til GEUS </w:t>
      </w:r>
      <w:proofErr w:type="spellStart"/>
      <w:r w:rsidR="00BA6BEC" w:rsidRPr="00BA6BEC">
        <w:t>m</w:t>
      </w:r>
      <w:r w:rsidR="00CD6891">
        <w:t>h</w:t>
      </w:r>
      <w:r w:rsidR="00BA6BEC" w:rsidRPr="00BA6BEC">
        <w:t>p</w:t>
      </w:r>
      <w:proofErr w:type="spellEnd"/>
      <w:r w:rsidR="00BA6BEC" w:rsidRPr="00BA6BEC">
        <w:t xml:space="preserve"> at drøfte </w:t>
      </w:r>
      <w:r w:rsidR="00BA6BEC">
        <w:t xml:space="preserve">muligheden for at stille </w:t>
      </w:r>
      <w:r w:rsidR="00BA6BEC" w:rsidRPr="00BA6BEC">
        <w:t>analysekvalitetskrav til drænvand.</w:t>
      </w:r>
      <w:r w:rsidR="00BA6BEC">
        <w:t xml:space="preserve"> En evt</w:t>
      </w:r>
      <w:r w:rsidR="00CD6891">
        <w:t>.</w:t>
      </w:r>
      <w:r w:rsidR="00BA6BEC">
        <w:t xml:space="preserve"> tilføjelse af nye krav til bekendtgørelsen ligger uden</w:t>
      </w:r>
      <w:r w:rsidR="00CD6891">
        <w:t xml:space="preserve"> </w:t>
      </w:r>
      <w:r w:rsidR="00BA6BEC">
        <w:t xml:space="preserve">for </w:t>
      </w:r>
      <w:r w:rsidR="006C3301">
        <w:t>omfanget af denne høring.</w:t>
      </w:r>
      <w:r w:rsidR="00BA6BEC">
        <w:t xml:space="preserve">  </w:t>
      </w:r>
    </w:p>
    <w:p w14:paraId="53BF66DE" w14:textId="43E48AA2" w:rsidR="0022146D" w:rsidRDefault="0022146D" w:rsidP="0022146D">
      <w:pPr>
        <w:ind w:left="720" w:right="-1191"/>
        <w:rPr>
          <w:b/>
        </w:rPr>
      </w:pPr>
    </w:p>
    <w:p w14:paraId="54B27990" w14:textId="77777777" w:rsidR="0022146D" w:rsidRPr="0022146D" w:rsidRDefault="0022146D" w:rsidP="0022146D"/>
    <w:sectPr w:rsidR="0022146D" w:rsidRPr="0022146D" w:rsidSect="0048667B">
      <w:headerReference w:type="even" r:id="rId7"/>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B465C" w14:textId="77777777" w:rsidR="00863AB6" w:rsidRDefault="00863AB6">
      <w:r>
        <w:separator/>
      </w:r>
    </w:p>
  </w:endnote>
  <w:endnote w:type="continuationSeparator" w:id="0">
    <w:p w14:paraId="3CB8135C" w14:textId="77777777" w:rsidR="00863AB6" w:rsidRDefault="0086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201C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14:paraId="508BE173"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F13EB" w14:textId="2E215E7F"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291988">
      <w:rPr>
        <w:rStyle w:val="Sidetal"/>
        <w:noProof/>
      </w:rPr>
      <w:t>8</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8248F" w14:textId="77777777" w:rsidR="00EE0137" w:rsidRPr="00956D3A" w:rsidRDefault="003E51BD" w:rsidP="00EE0137">
    <w:pPr>
      <w:pStyle w:val="Template-Address"/>
    </w:pPr>
    <w:bookmarkStart w:id="3" w:name="XIF_MMFirstAddressLine"/>
    <w:bookmarkStart w:id="4" w:name="XIF_MMSecondAddressLine"/>
    <w:bookmarkStart w:id="5" w:name="OFF_WebHIF"/>
    <w:r w:rsidRPr="00D33F53">
      <w:t xml:space="preserve">Miljøstyrelsen </w:t>
    </w:r>
    <w:r w:rsidR="00D6436E" w:rsidRPr="0000398F">
      <w:t xml:space="preserve">• </w:t>
    </w:r>
    <w:bookmarkStart w:id="6" w:name="OFF_AddressA"/>
    <w:bookmarkStart w:id="7" w:name="OFF_AddressAHIF"/>
    <w:r w:rsidR="00D6436E" w:rsidRPr="0000398F">
      <w:t>Tolderlundsvej 5</w:t>
    </w:r>
    <w:bookmarkEnd w:id="6"/>
    <w:r w:rsidR="00D6436E" w:rsidRPr="0000398F">
      <w:t xml:space="preserve"> </w:t>
    </w:r>
    <w:bookmarkEnd w:id="7"/>
    <w:r w:rsidR="00D6436E" w:rsidRPr="0000398F">
      <w:rPr>
        <w:vanish/>
      </w:rPr>
      <w:t xml:space="preserve">• </w:t>
    </w:r>
    <w:bookmarkStart w:id="8" w:name="OFF_AddressB"/>
    <w:bookmarkStart w:id="9" w:name="OFF_AddressBHIF"/>
    <w:bookmarkEnd w:id="8"/>
    <w:r w:rsidR="00D6436E" w:rsidRPr="0000398F">
      <w:rPr>
        <w:vanish/>
      </w:rPr>
      <w:t xml:space="preserve"> </w:t>
    </w:r>
    <w:bookmarkEnd w:id="9"/>
    <w:r w:rsidR="00D6436E" w:rsidRPr="0000398F">
      <w:rPr>
        <w:vanish/>
      </w:rPr>
      <w:t xml:space="preserve">• </w:t>
    </w:r>
    <w:bookmarkStart w:id="10" w:name="OFF_AddressC"/>
    <w:bookmarkStart w:id="11" w:name="OFF_AddressCHIF"/>
    <w:bookmarkEnd w:id="10"/>
    <w:r w:rsidR="00D6436E" w:rsidRPr="0000398F">
      <w:rPr>
        <w:vanish/>
      </w:rPr>
      <w:t xml:space="preserve"> </w:t>
    </w:r>
    <w:bookmarkEnd w:id="11"/>
    <w:r w:rsidR="00D6436E" w:rsidRPr="0000398F">
      <w:t xml:space="preserve">• </w:t>
    </w:r>
    <w:bookmarkStart w:id="12" w:name="OFF_AddressD"/>
    <w:bookmarkStart w:id="13" w:name="OFF_AddressDHIF"/>
    <w:r w:rsidR="00D6436E" w:rsidRPr="0000398F">
      <w:t>5000</w:t>
    </w:r>
    <w:bookmarkEnd w:id="12"/>
    <w:r w:rsidR="00D6436E" w:rsidRPr="0000398F">
      <w:t xml:space="preserve"> </w:t>
    </w:r>
    <w:bookmarkStart w:id="14" w:name="OFF_City"/>
    <w:r w:rsidR="00D6436E" w:rsidRPr="0000398F">
      <w:t>Odense C</w:t>
    </w:r>
    <w:bookmarkEnd w:id="14"/>
    <w:r w:rsidR="00D6436E" w:rsidRPr="0000398F">
      <w:t xml:space="preserve"> </w:t>
    </w:r>
    <w:bookmarkEnd w:id="13"/>
    <w:r w:rsidR="00D6436E" w:rsidRPr="0000398F">
      <w:t>•</w:t>
    </w:r>
    <w:r w:rsidR="00D6436E">
      <w:t xml:space="preserve"> </w:t>
    </w:r>
    <w:bookmarkStart w:id="15" w:name="LAN_Phone"/>
    <w:bookmarkStart w:id="16" w:name="OFF_PhoneHIF"/>
    <w:bookmarkEnd w:id="3"/>
  </w:p>
  <w:p w14:paraId="46EF4A2E" w14:textId="77777777" w:rsidR="00A91FEF" w:rsidRPr="00F96AF9" w:rsidRDefault="00D6436E" w:rsidP="00A3576C">
    <w:pPr>
      <w:pStyle w:val="Template-Address10000"/>
    </w:pPr>
    <w:r w:rsidRPr="00F96AF9">
      <w:t>Tlf.</w:t>
    </w:r>
    <w:bookmarkEnd w:id="15"/>
    <w:r w:rsidRPr="00F96AF9">
      <w:t xml:space="preserve"> </w:t>
    </w:r>
    <w:bookmarkStart w:id="17" w:name="OFF_Phone"/>
    <w:r w:rsidRPr="00F96AF9">
      <w:t>72 54 40 00</w:t>
    </w:r>
    <w:bookmarkEnd w:id="17"/>
    <w:r w:rsidRPr="00F96AF9">
      <w:t xml:space="preserve"> </w:t>
    </w:r>
    <w:bookmarkEnd w:id="16"/>
    <w:r w:rsidRPr="00F96AF9">
      <w:rPr>
        <w:vanish/>
      </w:rPr>
      <w:t xml:space="preserve">• </w:t>
    </w:r>
    <w:bookmarkStart w:id="18" w:name="LAN_Fax"/>
    <w:bookmarkStart w:id="19" w:name="OFF_FaxHIF"/>
    <w:r w:rsidRPr="00F96AF9">
      <w:rPr>
        <w:vanish/>
      </w:rPr>
      <w:t>Fax</w:t>
    </w:r>
    <w:bookmarkEnd w:id="18"/>
    <w:r w:rsidRPr="00F96AF9">
      <w:rPr>
        <w:vanish/>
      </w:rPr>
      <w:t xml:space="preserve"> </w:t>
    </w:r>
    <w:bookmarkStart w:id="20" w:name="OFF_Fax"/>
    <w:bookmarkEnd w:id="20"/>
    <w:r w:rsidRPr="00F96AF9">
      <w:rPr>
        <w:vanish/>
      </w:rPr>
      <w:t xml:space="preserve"> </w:t>
    </w:r>
    <w:bookmarkEnd w:id="19"/>
    <w:r w:rsidRPr="00F96AF9">
      <w:t xml:space="preserve">• </w:t>
    </w:r>
    <w:bookmarkStart w:id="21" w:name="OFF_CVRHIF"/>
    <w:r w:rsidRPr="00F96AF9">
      <w:t xml:space="preserve">CVR </w:t>
    </w:r>
    <w:bookmarkStart w:id="22" w:name="OFF_CVR"/>
    <w:r w:rsidRPr="00F96AF9">
      <w:t>25798376</w:t>
    </w:r>
    <w:bookmarkEnd w:id="22"/>
    <w:r w:rsidRPr="00F96AF9">
      <w:t xml:space="preserve"> </w:t>
    </w:r>
    <w:bookmarkEnd w:id="21"/>
    <w:r w:rsidRPr="00F96AF9">
      <w:t xml:space="preserve">• </w:t>
    </w:r>
    <w:bookmarkStart w:id="23" w:name="OFF_EANHIF"/>
    <w:r w:rsidRPr="00F96AF9">
      <w:t xml:space="preserve">EAN </w:t>
    </w:r>
    <w:bookmarkStart w:id="24" w:name="OFF_EAN"/>
    <w:r w:rsidRPr="00F96AF9">
      <w:t>5798000860810</w:t>
    </w:r>
    <w:bookmarkEnd w:id="24"/>
    <w:r w:rsidRPr="00F96AF9">
      <w:t xml:space="preserve"> </w:t>
    </w:r>
    <w:bookmarkEnd w:id="23"/>
    <w:r w:rsidRPr="00F96AF9">
      <w:t xml:space="preserve">• </w:t>
    </w:r>
    <w:bookmarkStart w:id="25" w:name="OFF_Email"/>
    <w:bookmarkStart w:id="26" w:name="OFF_EmailHIF"/>
    <w:r w:rsidRPr="00F96AF9">
      <w:t>mst@mst.dk</w:t>
    </w:r>
    <w:bookmarkEnd w:id="25"/>
    <w:r w:rsidRPr="00F96AF9">
      <w:t xml:space="preserve"> </w:t>
    </w:r>
    <w:bookmarkEnd w:id="26"/>
    <w:r w:rsidRPr="00F96AF9">
      <w:t xml:space="preserve">• </w:t>
    </w:r>
    <w:bookmarkStart w:id="27" w:name="OFF_Web"/>
    <w:r w:rsidRPr="00F96AF9">
      <w:t>www.mst.dk</w:t>
    </w:r>
    <w:bookmarkEnd w:id="27"/>
    <w:r w:rsidR="00EE0137" w:rsidRPr="00946EE3">
      <w:t xml:space="preserve"> </w:t>
    </w:r>
    <w:bookmarkEnd w:id="4"/>
    <w:bookmarkEnd w:id="5"/>
  </w:p>
  <w:p w14:paraId="64FDA472"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36BF5" w14:textId="77777777" w:rsidR="00863AB6" w:rsidRDefault="00863AB6">
      <w:r>
        <w:separator/>
      </w:r>
    </w:p>
  </w:footnote>
  <w:footnote w:type="continuationSeparator" w:id="0">
    <w:p w14:paraId="7130EEDA" w14:textId="77777777" w:rsidR="00863AB6" w:rsidRDefault="00863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01D2E" w14:textId="77777777" w:rsidR="00BB27DA" w:rsidRDefault="00BB27D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80A91" w14:textId="77777777" w:rsidR="000E717B" w:rsidRDefault="000E717B">
    <w:pPr>
      <w:pStyle w:val="Sidehoved"/>
    </w:pPr>
    <w:bookmarkStart w:id="1" w:name="BIT_PrimaryHeader"/>
  </w:p>
  <w:bookmarkEnd w:id="1"/>
  <w:p w14:paraId="7EDA4A4B"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382E" w14:textId="77777777" w:rsidR="00EE0137" w:rsidRPr="00E959A5" w:rsidRDefault="00EE0137" w:rsidP="00EE0137">
    <w:r w:rsidRPr="00E959A5">
      <w:rPr>
        <w:noProof/>
        <w:lang w:val="en-US" w:eastAsia="en-US"/>
      </w:rPr>
      <mc:AlternateContent>
        <mc:Choice Requires="wps">
          <w:drawing>
            <wp:anchor distT="0" distB="0" distL="114300" distR="114300" simplePos="0" relativeHeight="251657216" behindDoc="0" locked="1" layoutInCell="1" allowOverlap="1" wp14:anchorId="1046D0FA" wp14:editId="07CBBBE0">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265E7FA" w14:textId="77777777">
                            <w:trPr>
                              <w:cantSplit/>
                              <w:trHeight w:val="2778"/>
                            </w:trPr>
                            <w:tc>
                              <w:tcPr>
                                <w:tcW w:w="2755" w:type="dxa"/>
                                <w:tcMar>
                                  <w:top w:w="34" w:type="dxa"/>
                                  <w:left w:w="0" w:type="dxa"/>
                                  <w:bottom w:w="28" w:type="dxa"/>
                                  <w:right w:w="0" w:type="dxa"/>
                                </w:tcMar>
                              </w:tcPr>
                              <w:p w14:paraId="0899D359" w14:textId="77777777" w:rsidR="00411D14" w:rsidRPr="003E51BD" w:rsidRDefault="00411D14" w:rsidP="00411D14">
                                <w:pPr>
                                  <w:pStyle w:val="DocumentName"/>
                                  <w:rPr>
                                    <w:caps w:val="0"/>
                                  </w:rPr>
                                </w:pPr>
                                <w:r w:rsidRPr="003E51BD">
                                  <w:rPr>
                                    <w:caps w:val="0"/>
                                  </w:rPr>
                                  <w:t>Vandforsyning</w:t>
                                </w:r>
                              </w:p>
                              <w:p w14:paraId="104DA57F" w14:textId="77777777" w:rsidR="00563DC0" w:rsidRPr="00F96AF9" w:rsidRDefault="00D6436E" w:rsidP="00563DC0">
                                <w:r w:rsidRPr="00F96AF9">
                                  <w:t>J.nr. 2023 - 97926</w:t>
                                </w:r>
                              </w:p>
                              <w:p w14:paraId="0DD2BA67" w14:textId="77777777" w:rsidR="008036E9" w:rsidRPr="00F96AF9" w:rsidRDefault="00D6436E" w:rsidP="00563DC0">
                                <w:r w:rsidRPr="00F96AF9">
                                  <w:t xml:space="preserve">Ref. </w:t>
                                </w:r>
                                <w:proofErr w:type="spellStart"/>
                                <w:r w:rsidRPr="00F96AF9">
                                  <w:t>herha</w:t>
                                </w:r>
                                <w:proofErr w:type="spellEnd"/>
                              </w:p>
                              <w:p w14:paraId="6845BCE9" w14:textId="77777777" w:rsidR="00B85C21" w:rsidRPr="00095830" w:rsidRDefault="00D6436E" w:rsidP="00563DC0">
                                <w:r w:rsidRPr="00F96AF9">
                                  <w:t>Den 21. maj 2024</w:t>
                                </w:r>
                              </w:p>
                              <w:p w14:paraId="566D1906" w14:textId="77777777" w:rsidR="00EE0137" w:rsidRDefault="00EE0137" w:rsidP="00F351D6">
                                <w:pPr>
                                  <w:pStyle w:val="Kolofontekst"/>
                                </w:pPr>
                              </w:p>
                            </w:tc>
                          </w:tr>
                        </w:tbl>
                        <w:p w14:paraId="0A8131C6"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46D0FA"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265E7FA" w14:textId="77777777">
                      <w:trPr>
                        <w:cantSplit/>
                        <w:trHeight w:val="2778"/>
                      </w:trPr>
                      <w:tc>
                        <w:tcPr>
                          <w:tcW w:w="2755" w:type="dxa"/>
                          <w:tcMar>
                            <w:top w:w="34" w:type="dxa"/>
                            <w:left w:w="0" w:type="dxa"/>
                            <w:bottom w:w="28" w:type="dxa"/>
                            <w:right w:w="0" w:type="dxa"/>
                          </w:tcMar>
                        </w:tcPr>
                        <w:p w14:paraId="0899D359" w14:textId="77777777" w:rsidR="00411D14" w:rsidRPr="003E51BD" w:rsidRDefault="00411D14" w:rsidP="00411D14">
                          <w:pPr>
                            <w:pStyle w:val="DocumentName"/>
                            <w:rPr>
                              <w:caps w:val="0"/>
                            </w:rPr>
                          </w:pPr>
                          <w:r w:rsidRPr="003E51BD">
                            <w:rPr>
                              <w:caps w:val="0"/>
                            </w:rPr>
                            <w:t>Vandforsyning</w:t>
                          </w:r>
                        </w:p>
                        <w:p w14:paraId="104DA57F" w14:textId="77777777" w:rsidR="00563DC0" w:rsidRPr="00F96AF9" w:rsidRDefault="00D6436E" w:rsidP="00563DC0">
                          <w:r w:rsidRPr="00F96AF9">
                            <w:t>J.nr. 2023 - 97926</w:t>
                          </w:r>
                        </w:p>
                        <w:p w14:paraId="0DD2BA67" w14:textId="77777777" w:rsidR="008036E9" w:rsidRPr="00F96AF9" w:rsidRDefault="00D6436E" w:rsidP="00563DC0">
                          <w:r w:rsidRPr="00F96AF9">
                            <w:t xml:space="preserve">Ref. </w:t>
                          </w:r>
                          <w:proofErr w:type="spellStart"/>
                          <w:r w:rsidRPr="00F96AF9">
                            <w:t>herha</w:t>
                          </w:r>
                          <w:proofErr w:type="spellEnd"/>
                        </w:p>
                        <w:p w14:paraId="6845BCE9" w14:textId="77777777" w:rsidR="00B85C21" w:rsidRPr="00095830" w:rsidRDefault="00D6436E" w:rsidP="00563DC0">
                          <w:r w:rsidRPr="00F96AF9">
                            <w:t>Den 21. maj 2024</w:t>
                          </w:r>
                        </w:p>
                        <w:p w14:paraId="566D1906" w14:textId="77777777" w:rsidR="00EE0137" w:rsidRDefault="00EE0137" w:rsidP="00F351D6">
                          <w:pPr>
                            <w:pStyle w:val="Kolofontekst"/>
                          </w:pPr>
                        </w:p>
                      </w:tc>
                    </w:tr>
                  </w:tbl>
                  <w:p w14:paraId="0A8131C6" w14:textId="77777777" w:rsidR="00EE0137" w:rsidRDefault="00EE0137" w:rsidP="00EE0137"/>
                </w:txbxContent>
              </v:textbox>
              <w10:wrap anchorx="margin" anchory="page"/>
              <w10:anchorlock/>
            </v:shape>
          </w:pict>
        </mc:Fallback>
      </mc:AlternateContent>
    </w:r>
  </w:p>
  <w:p w14:paraId="4DA516A0" w14:textId="77777777" w:rsidR="00C02650" w:rsidRDefault="003E51BD" w:rsidP="007E1CD7">
    <w:pPr>
      <w:pStyle w:val="DocumentName"/>
      <w:tabs>
        <w:tab w:val="clear" w:pos="9638"/>
        <w:tab w:val="right" w:pos="7230"/>
      </w:tabs>
      <w:rPr>
        <w:caps w:val="0"/>
      </w:rPr>
    </w:pPr>
    <w:bookmarkStart w:id="2" w:name="BIT_DocumentName"/>
    <w:bookmarkEnd w:id="2"/>
    <w:r>
      <w:rPr>
        <w:noProof/>
        <w:lang w:val="en-US" w:eastAsia="en-US"/>
      </w:rPr>
      <w:drawing>
        <wp:anchor distT="0" distB="0" distL="114300" distR="114300" simplePos="0" relativeHeight="251658240" behindDoc="0" locked="1" layoutInCell="1" allowOverlap="1" wp14:anchorId="2DF32491" wp14:editId="63CE9E3F">
          <wp:simplePos x="0" y="0"/>
          <wp:positionH relativeFrom="rightMargin">
            <wp:posOffset>-648335</wp:posOffset>
          </wp:positionH>
          <wp:positionV relativeFrom="page">
            <wp:posOffset>431800</wp:posOffset>
          </wp:positionV>
          <wp:extent cx="2628000" cy="525600"/>
          <wp:effectExtent l="0" t="0" r="0" b="0"/>
          <wp:wrapNone/>
          <wp:docPr id="100000"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rcRect r="-8956"/>
                  <a:stretch>
                    <a:fillRect/>
                  </a:stretch>
                </pic:blipFill>
                <pic:spPr>
                  <a:xfrm>
                    <a:off x="0" y="0"/>
                    <a:ext cx="2628000" cy="525600"/>
                  </a:xfrm>
                  <a:prstGeom prst="rect">
                    <a:avLst/>
                  </a:prstGeom>
                </pic:spPr>
              </pic:pic>
            </a:graphicData>
          </a:graphic>
          <wp14:sizeRelH relativeFrom="page">
            <wp14:pctWidth>0</wp14:pctWidth>
          </wp14:sizeRelH>
          <wp14:sizeRelV relativeFrom="page">
            <wp14:pctHeight>0</wp14:pctHeight>
          </wp14:sizeRelV>
        </wp:anchor>
      </w:drawing>
    </w:r>
  </w:p>
  <w:p w14:paraId="5161D0C4" w14:textId="77777777" w:rsidR="00BB27DA" w:rsidRPr="00953410" w:rsidRDefault="00BB27DA" w:rsidP="007E1CD7">
    <w:pPr>
      <w:pStyle w:val="DocumentName"/>
      <w:tabs>
        <w:tab w:val="clear" w:pos="9638"/>
        <w:tab w:val="right" w:pos="7230"/>
      </w:tabs>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8F54256"/>
    <w:multiLevelType w:val="hybridMultilevel"/>
    <w:tmpl w:val="BEFA0FD4"/>
    <w:lvl w:ilvl="0" w:tplc="E2B4B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1E100BDB"/>
    <w:multiLevelType w:val="hybridMultilevel"/>
    <w:tmpl w:val="CC36D368"/>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F3B3F30"/>
    <w:multiLevelType w:val="hybridMultilevel"/>
    <w:tmpl w:val="06EE3EDE"/>
    <w:lvl w:ilvl="0" w:tplc="6C8A49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BA035E"/>
    <w:multiLevelType w:val="hybridMultilevel"/>
    <w:tmpl w:val="A1D85D1A"/>
    <w:lvl w:ilvl="0" w:tplc="B1EC36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251500"/>
    <w:multiLevelType w:val="hybridMultilevel"/>
    <w:tmpl w:val="D6D2C622"/>
    <w:lvl w:ilvl="0" w:tplc="F62C89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901829"/>
    <w:multiLevelType w:val="hybridMultilevel"/>
    <w:tmpl w:val="7144E19C"/>
    <w:lvl w:ilvl="0" w:tplc="97A62B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0B3D97"/>
    <w:multiLevelType w:val="hybridMultilevel"/>
    <w:tmpl w:val="06380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D7192B"/>
    <w:multiLevelType w:val="hybridMultilevel"/>
    <w:tmpl w:val="7CFAEE96"/>
    <w:lvl w:ilvl="0" w:tplc="8ED62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9"/>
  </w:num>
  <w:num w:numId="12">
    <w:abstractNumId w:val="17"/>
  </w:num>
  <w:num w:numId="13">
    <w:abstractNumId w:val="16"/>
  </w:num>
  <w:num w:numId="14">
    <w:abstractNumId w:val="8"/>
  </w:num>
  <w:num w:numId="15">
    <w:abstractNumId w:val="12"/>
  </w:num>
  <w:num w:numId="16">
    <w:abstractNumId w:val="14"/>
  </w:num>
  <w:num w:numId="17">
    <w:abstractNumId w:val="21"/>
  </w:num>
  <w:num w:numId="18">
    <w:abstractNumId w:val="20"/>
  </w:num>
  <w:num w:numId="19">
    <w:abstractNumId w:val="19"/>
  </w:num>
  <w:num w:numId="20">
    <w:abstractNumId w:val="18"/>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48"/>
    <w:rsid w:val="00001E87"/>
    <w:rsid w:val="00002EA0"/>
    <w:rsid w:val="00003636"/>
    <w:rsid w:val="00005FAA"/>
    <w:rsid w:val="0001457C"/>
    <w:rsid w:val="00014CA5"/>
    <w:rsid w:val="0001528D"/>
    <w:rsid w:val="000166A0"/>
    <w:rsid w:val="00030051"/>
    <w:rsid w:val="000317B3"/>
    <w:rsid w:val="0003548F"/>
    <w:rsid w:val="00037E7E"/>
    <w:rsid w:val="00060BC5"/>
    <w:rsid w:val="000647F2"/>
    <w:rsid w:val="000661ED"/>
    <w:rsid w:val="00066A0C"/>
    <w:rsid w:val="00070BA1"/>
    <w:rsid w:val="00070C3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3A92"/>
    <w:rsid w:val="000D5FBF"/>
    <w:rsid w:val="000D600E"/>
    <w:rsid w:val="000E179B"/>
    <w:rsid w:val="000E2563"/>
    <w:rsid w:val="000E3992"/>
    <w:rsid w:val="000E717B"/>
    <w:rsid w:val="000F0B81"/>
    <w:rsid w:val="00103018"/>
    <w:rsid w:val="00104CB1"/>
    <w:rsid w:val="001062D0"/>
    <w:rsid w:val="00113F82"/>
    <w:rsid w:val="00114DE6"/>
    <w:rsid w:val="001210A9"/>
    <w:rsid w:val="001260EC"/>
    <w:rsid w:val="001354CC"/>
    <w:rsid w:val="0014150F"/>
    <w:rsid w:val="00144670"/>
    <w:rsid w:val="0014616C"/>
    <w:rsid w:val="00150899"/>
    <w:rsid w:val="00152CB8"/>
    <w:rsid w:val="00154300"/>
    <w:rsid w:val="00156908"/>
    <w:rsid w:val="00160721"/>
    <w:rsid w:val="001743E7"/>
    <w:rsid w:val="0018769C"/>
    <w:rsid w:val="00195682"/>
    <w:rsid w:val="00196805"/>
    <w:rsid w:val="001A43C2"/>
    <w:rsid w:val="001A4D56"/>
    <w:rsid w:val="001A58BF"/>
    <w:rsid w:val="001A6CB5"/>
    <w:rsid w:val="001A7272"/>
    <w:rsid w:val="001A7E4B"/>
    <w:rsid w:val="001B0B9D"/>
    <w:rsid w:val="001B3F10"/>
    <w:rsid w:val="001B72A9"/>
    <w:rsid w:val="001C2544"/>
    <w:rsid w:val="001C417D"/>
    <w:rsid w:val="001C4328"/>
    <w:rsid w:val="001C6975"/>
    <w:rsid w:val="001C7630"/>
    <w:rsid w:val="001D1196"/>
    <w:rsid w:val="001D19D8"/>
    <w:rsid w:val="001E0F22"/>
    <w:rsid w:val="001E26F7"/>
    <w:rsid w:val="001E38EF"/>
    <w:rsid w:val="001E63D8"/>
    <w:rsid w:val="001E7F16"/>
    <w:rsid w:val="001F0E51"/>
    <w:rsid w:val="001F3A47"/>
    <w:rsid w:val="001F3DFB"/>
    <w:rsid w:val="001F763E"/>
    <w:rsid w:val="00200B86"/>
    <w:rsid w:val="0020134B"/>
    <w:rsid w:val="0020402C"/>
    <w:rsid w:val="002044E3"/>
    <w:rsid w:val="00204BF4"/>
    <w:rsid w:val="00211AC9"/>
    <w:rsid w:val="00212497"/>
    <w:rsid w:val="0022146D"/>
    <w:rsid w:val="002239C6"/>
    <w:rsid w:val="00225534"/>
    <w:rsid w:val="00235C1F"/>
    <w:rsid w:val="002366E2"/>
    <w:rsid w:val="002629A8"/>
    <w:rsid w:val="002639DB"/>
    <w:rsid w:val="00264240"/>
    <w:rsid w:val="002654F9"/>
    <w:rsid w:val="00267F76"/>
    <w:rsid w:val="0027546B"/>
    <w:rsid w:val="00283D52"/>
    <w:rsid w:val="00283D7E"/>
    <w:rsid w:val="00284176"/>
    <w:rsid w:val="00291988"/>
    <w:rsid w:val="00293240"/>
    <w:rsid w:val="002933E6"/>
    <w:rsid w:val="0029629D"/>
    <w:rsid w:val="00297074"/>
    <w:rsid w:val="0029733F"/>
    <w:rsid w:val="002A29B1"/>
    <w:rsid w:val="002A7860"/>
    <w:rsid w:val="002C042D"/>
    <w:rsid w:val="002C4595"/>
    <w:rsid w:val="002C4D00"/>
    <w:rsid w:val="002D00C9"/>
    <w:rsid w:val="002D03C2"/>
    <w:rsid w:val="002D0EDB"/>
    <w:rsid w:val="002D268E"/>
    <w:rsid w:val="002D7F0F"/>
    <w:rsid w:val="002E7A37"/>
    <w:rsid w:val="002F177C"/>
    <w:rsid w:val="002F4E89"/>
    <w:rsid w:val="003001A2"/>
    <w:rsid w:val="003005AD"/>
    <w:rsid w:val="003033ED"/>
    <w:rsid w:val="00310C3C"/>
    <w:rsid w:val="00313642"/>
    <w:rsid w:val="00315AC9"/>
    <w:rsid w:val="00320951"/>
    <w:rsid w:val="003209AA"/>
    <w:rsid w:val="00322BBE"/>
    <w:rsid w:val="00326ED5"/>
    <w:rsid w:val="00331970"/>
    <w:rsid w:val="00334562"/>
    <w:rsid w:val="00341FCF"/>
    <w:rsid w:val="00343A37"/>
    <w:rsid w:val="00345FA9"/>
    <w:rsid w:val="00350582"/>
    <w:rsid w:val="00353B4E"/>
    <w:rsid w:val="003558D9"/>
    <w:rsid w:val="003568B6"/>
    <w:rsid w:val="00362EAC"/>
    <w:rsid w:val="003636D3"/>
    <w:rsid w:val="00365BC4"/>
    <w:rsid w:val="003819FF"/>
    <w:rsid w:val="00385C06"/>
    <w:rsid w:val="00386D0C"/>
    <w:rsid w:val="003A3350"/>
    <w:rsid w:val="003A3369"/>
    <w:rsid w:val="003A44A9"/>
    <w:rsid w:val="003B6C74"/>
    <w:rsid w:val="003C67E6"/>
    <w:rsid w:val="003D3CB2"/>
    <w:rsid w:val="003D518E"/>
    <w:rsid w:val="003D7ABD"/>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17164"/>
    <w:rsid w:val="00417A42"/>
    <w:rsid w:val="004208E6"/>
    <w:rsid w:val="004232F9"/>
    <w:rsid w:val="00427DB5"/>
    <w:rsid w:val="00433A1E"/>
    <w:rsid w:val="00440668"/>
    <w:rsid w:val="00442162"/>
    <w:rsid w:val="004421D7"/>
    <w:rsid w:val="00443976"/>
    <w:rsid w:val="00447B83"/>
    <w:rsid w:val="00450475"/>
    <w:rsid w:val="00456116"/>
    <w:rsid w:val="00457882"/>
    <w:rsid w:val="00460B5A"/>
    <w:rsid w:val="00461761"/>
    <w:rsid w:val="00461B96"/>
    <w:rsid w:val="0046600E"/>
    <w:rsid w:val="00467E79"/>
    <w:rsid w:val="00476722"/>
    <w:rsid w:val="00481EEB"/>
    <w:rsid w:val="004830C6"/>
    <w:rsid w:val="0048414C"/>
    <w:rsid w:val="0048667B"/>
    <w:rsid w:val="00486F50"/>
    <w:rsid w:val="00495993"/>
    <w:rsid w:val="004A3AAA"/>
    <w:rsid w:val="004A4315"/>
    <w:rsid w:val="004B18D4"/>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62E0"/>
    <w:rsid w:val="004F7C92"/>
    <w:rsid w:val="005009DC"/>
    <w:rsid w:val="00500EFC"/>
    <w:rsid w:val="00501E2E"/>
    <w:rsid w:val="0051781E"/>
    <w:rsid w:val="00520971"/>
    <w:rsid w:val="005267CB"/>
    <w:rsid w:val="00531869"/>
    <w:rsid w:val="005322EA"/>
    <w:rsid w:val="00535B7D"/>
    <w:rsid w:val="00544426"/>
    <w:rsid w:val="005543C3"/>
    <w:rsid w:val="00554FAA"/>
    <w:rsid w:val="005630B4"/>
    <w:rsid w:val="00563773"/>
    <w:rsid w:val="005650F2"/>
    <w:rsid w:val="005672CB"/>
    <w:rsid w:val="00571AE6"/>
    <w:rsid w:val="00576B90"/>
    <w:rsid w:val="0058155D"/>
    <w:rsid w:val="00590A5B"/>
    <w:rsid w:val="00590C13"/>
    <w:rsid w:val="0059175F"/>
    <w:rsid w:val="0059560E"/>
    <w:rsid w:val="00596C25"/>
    <w:rsid w:val="00596EDF"/>
    <w:rsid w:val="005A01E1"/>
    <w:rsid w:val="005A0290"/>
    <w:rsid w:val="005A104C"/>
    <w:rsid w:val="005A1F29"/>
    <w:rsid w:val="005A29CB"/>
    <w:rsid w:val="005A50B9"/>
    <w:rsid w:val="005C51A1"/>
    <w:rsid w:val="005C7E5E"/>
    <w:rsid w:val="005D14B1"/>
    <w:rsid w:val="005D2B26"/>
    <w:rsid w:val="005D3CF2"/>
    <w:rsid w:val="005D543F"/>
    <w:rsid w:val="005D7152"/>
    <w:rsid w:val="005E352B"/>
    <w:rsid w:val="005E4484"/>
    <w:rsid w:val="005E77EF"/>
    <w:rsid w:val="005F172E"/>
    <w:rsid w:val="005F4C83"/>
    <w:rsid w:val="005F61FB"/>
    <w:rsid w:val="00603A9E"/>
    <w:rsid w:val="00604DC5"/>
    <w:rsid w:val="006067F0"/>
    <w:rsid w:val="006079D5"/>
    <w:rsid w:val="00610541"/>
    <w:rsid w:val="00610A43"/>
    <w:rsid w:val="00612296"/>
    <w:rsid w:val="006161E8"/>
    <w:rsid w:val="006217FF"/>
    <w:rsid w:val="00623A75"/>
    <w:rsid w:val="00623FAF"/>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35AA"/>
    <w:rsid w:val="00696E85"/>
    <w:rsid w:val="006A18C5"/>
    <w:rsid w:val="006C3301"/>
    <w:rsid w:val="006D09A7"/>
    <w:rsid w:val="006E7F1D"/>
    <w:rsid w:val="006F3EB3"/>
    <w:rsid w:val="006F4DCD"/>
    <w:rsid w:val="00702FF2"/>
    <w:rsid w:val="00703B66"/>
    <w:rsid w:val="00705800"/>
    <w:rsid w:val="00705EAB"/>
    <w:rsid w:val="007063C7"/>
    <w:rsid w:val="00706519"/>
    <w:rsid w:val="007225E4"/>
    <w:rsid w:val="00723455"/>
    <w:rsid w:val="00724762"/>
    <w:rsid w:val="007249D4"/>
    <w:rsid w:val="00724D6D"/>
    <w:rsid w:val="00730F9B"/>
    <w:rsid w:val="0073474C"/>
    <w:rsid w:val="0073754C"/>
    <w:rsid w:val="007438F6"/>
    <w:rsid w:val="0074716F"/>
    <w:rsid w:val="0074737F"/>
    <w:rsid w:val="00751E72"/>
    <w:rsid w:val="00753673"/>
    <w:rsid w:val="007540BD"/>
    <w:rsid w:val="00762205"/>
    <w:rsid w:val="0076323D"/>
    <w:rsid w:val="00764201"/>
    <w:rsid w:val="0077532B"/>
    <w:rsid w:val="00781CB3"/>
    <w:rsid w:val="007830BE"/>
    <w:rsid w:val="007912B3"/>
    <w:rsid w:val="007940C9"/>
    <w:rsid w:val="00796312"/>
    <w:rsid w:val="007B1B23"/>
    <w:rsid w:val="007B21FA"/>
    <w:rsid w:val="007B2ADE"/>
    <w:rsid w:val="007B3940"/>
    <w:rsid w:val="007D492E"/>
    <w:rsid w:val="007E0C49"/>
    <w:rsid w:val="007E1CD7"/>
    <w:rsid w:val="007E3A3B"/>
    <w:rsid w:val="007E51F2"/>
    <w:rsid w:val="007E5E97"/>
    <w:rsid w:val="007E7688"/>
    <w:rsid w:val="007F175D"/>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AB6"/>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46EE3"/>
    <w:rsid w:val="00953410"/>
    <w:rsid w:val="009601F5"/>
    <w:rsid w:val="00962F81"/>
    <w:rsid w:val="00963E43"/>
    <w:rsid w:val="00970F21"/>
    <w:rsid w:val="00973960"/>
    <w:rsid w:val="00975F3B"/>
    <w:rsid w:val="0098382A"/>
    <w:rsid w:val="00986E59"/>
    <w:rsid w:val="009943CD"/>
    <w:rsid w:val="00994809"/>
    <w:rsid w:val="00994E91"/>
    <w:rsid w:val="009A32B0"/>
    <w:rsid w:val="009C37F8"/>
    <w:rsid w:val="009C3979"/>
    <w:rsid w:val="009C6BB2"/>
    <w:rsid w:val="009E27B6"/>
    <w:rsid w:val="009E46B7"/>
    <w:rsid w:val="009E7920"/>
    <w:rsid w:val="009F3155"/>
    <w:rsid w:val="009F368F"/>
    <w:rsid w:val="009F4367"/>
    <w:rsid w:val="009F7033"/>
    <w:rsid w:val="009F7FC2"/>
    <w:rsid w:val="00A011F0"/>
    <w:rsid w:val="00A03CE6"/>
    <w:rsid w:val="00A03DDD"/>
    <w:rsid w:val="00A03E48"/>
    <w:rsid w:val="00A11F5A"/>
    <w:rsid w:val="00A158CB"/>
    <w:rsid w:val="00A24A07"/>
    <w:rsid w:val="00A34B40"/>
    <w:rsid w:val="00A3628C"/>
    <w:rsid w:val="00A36292"/>
    <w:rsid w:val="00A36D64"/>
    <w:rsid w:val="00A3749F"/>
    <w:rsid w:val="00A44A6B"/>
    <w:rsid w:val="00A51DBA"/>
    <w:rsid w:val="00A5408B"/>
    <w:rsid w:val="00A556CE"/>
    <w:rsid w:val="00A67D37"/>
    <w:rsid w:val="00A7229E"/>
    <w:rsid w:val="00A72DDE"/>
    <w:rsid w:val="00A77855"/>
    <w:rsid w:val="00A85ECD"/>
    <w:rsid w:val="00A923E2"/>
    <w:rsid w:val="00A964CE"/>
    <w:rsid w:val="00A96C60"/>
    <w:rsid w:val="00A975FD"/>
    <w:rsid w:val="00AA00B5"/>
    <w:rsid w:val="00AA4437"/>
    <w:rsid w:val="00AB363A"/>
    <w:rsid w:val="00AC35D6"/>
    <w:rsid w:val="00AD678B"/>
    <w:rsid w:val="00AE41A1"/>
    <w:rsid w:val="00AE5A17"/>
    <w:rsid w:val="00AF5AF6"/>
    <w:rsid w:val="00B04B70"/>
    <w:rsid w:val="00B05793"/>
    <w:rsid w:val="00B11640"/>
    <w:rsid w:val="00B12F79"/>
    <w:rsid w:val="00B13BB6"/>
    <w:rsid w:val="00B21423"/>
    <w:rsid w:val="00B2565D"/>
    <w:rsid w:val="00B30727"/>
    <w:rsid w:val="00B31529"/>
    <w:rsid w:val="00B33A35"/>
    <w:rsid w:val="00B3497E"/>
    <w:rsid w:val="00B358B3"/>
    <w:rsid w:val="00B403C5"/>
    <w:rsid w:val="00B441D7"/>
    <w:rsid w:val="00B54207"/>
    <w:rsid w:val="00B62F9D"/>
    <w:rsid w:val="00B67E21"/>
    <w:rsid w:val="00B734BB"/>
    <w:rsid w:val="00B77950"/>
    <w:rsid w:val="00B80700"/>
    <w:rsid w:val="00B81B85"/>
    <w:rsid w:val="00B83C8E"/>
    <w:rsid w:val="00B86940"/>
    <w:rsid w:val="00B87347"/>
    <w:rsid w:val="00B90A33"/>
    <w:rsid w:val="00B912F1"/>
    <w:rsid w:val="00B91712"/>
    <w:rsid w:val="00B91D48"/>
    <w:rsid w:val="00B932C3"/>
    <w:rsid w:val="00BA6BEC"/>
    <w:rsid w:val="00BA7059"/>
    <w:rsid w:val="00BB27DA"/>
    <w:rsid w:val="00BB40C8"/>
    <w:rsid w:val="00BB6985"/>
    <w:rsid w:val="00BC31CE"/>
    <w:rsid w:val="00BC56EA"/>
    <w:rsid w:val="00BC6602"/>
    <w:rsid w:val="00BD787B"/>
    <w:rsid w:val="00BE0CE4"/>
    <w:rsid w:val="00BE7D68"/>
    <w:rsid w:val="00BF101A"/>
    <w:rsid w:val="00BF729B"/>
    <w:rsid w:val="00C02650"/>
    <w:rsid w:val="00C03ED1"/>
    <w:rsid w:val="00C064BC"/>
    <w:rsid w:val="00C1503E"/>
    <w:rsid w:val="00C16955"/>
    <w:rsid w:val="00C16FD5"/>
    <w:rsid w:val="00C21584"/>
    <w:rsid w:val="00C2184A"/>
    <w:rsid w:val="00C22C94"/>
    <w:rsid w:val="00C26117"/>
    <w:rsid w:val="00C33DC4"/>
    <w:rsid w:val="00C3559B"/>
    <w:rsid w:val="00C41BBD"/>
    <w:rsid w:val="00C44620"/>
    <w:rsid w:val="00C53CED"/>
    <w:rsid w:val="00C57362"/>
    <w:rsid w:val="00C57CA7"/>
    <w:rsid w:val="00C60B38"/>
    <w:rsid w:val="00C617FE"/>
    <w:rsid w:val="00C64F3D"/>
    <w:rsid w:val="00C702AD"/>
    <w:rsid w:val="00C7051E"/>
    <w:rsid w:val="00C70BEA"/>
    <w:rsid w:val="00C71B04"/>
    <w:rsid w:val="00C7587C"/>
    <w:rsid w:val="00C766CC"/>
    <w:rsid w:val="00C76B7D"/>
    <w:rsid w:val="00C80313"/>
    <w:rsid w:val="00C8406C"/>
    <w:rsid w:val="00C87AAA"/>
    <w:rsid w:val="00C90C7C"/>
    <w:rsid w:val="00C94E96"/>
    <w:rsid w:val="00CA543F"/>
    <w:rsid w:val="00CA6429"/>
    <w:rsid w:val="00CA6ADF"/>
    <w:rsid w:val="00CB5C14"/>
    <w:rsid w:val="00CB7311"/>
    <w:rsid w:val="00CC12A8"/>
    <w:rsid w:val="00CC3891"/>
    <w:rsid w:val="00CC3974"/>
    <w:rsid w:val="00CC4E8D"/>
    <w:rsid w:val="00CC6892"/>
    <w:rsid w:val="00CD1861"/>
    <w:rsid w:val="00CD31FE"/>
    <w:rsid w:val="00CD4F1D"/>
    <w:rsid w:val="00CD6891"/>
    <w:rsid w:val="00CE148C"/>
    <w:rsid w:val="00CE1EC6"/>
    <w:rsid w:val="00CE5201"/>
    <w:rsid w:val="00CF1627"/>
    <w:rsid w:val="00CF5EFE"/>
    <w:rsid w:val="00CF760D"/>
    <w:rsid w:val="00D008ED"/>
    <w:rsid w:val="00D01984"/>
    <w:rsid w:val="00D01EDA"/>
    <w:rsid w:val="00D16472"/>
    <w:rsid w:val="00D217D0"/>
    <w:rsid w:val="00D321C9"/>
    <w:rsid w:val="00D33ED1"/>
    <w:rsid w:val="00D353A2"/>
    <w:rsid w:val="00D37613"/>
    <w:rsid w:val="00D37FC2"/>
    <w:rsid w:val="00D43DB0"/>
    <w:rsid w:val="00D52B1F"/>
    <w:rsid w:val="00D570C5"/>
    <w:rsid w:val="00D6436E"/>
    <w:rsid w:val="00D65E69"/>
    <w:rsid w:val="00D66BFA"/>
    <w:rsid w:val="00D8181B"/>
    <w:rsid w:val="00D922CF"/>
    <w:rsid w:val="00D92335"/>
    <w:rsid w:val="00D951B4"/>
    <w:rsid w:val="00D97766"/>
    <w:rsid w:val="00DA32B3"/>
    <w:rsid w:val="00DA6734"/>
    <w:rsid w:val="00DA67E2"/>
    <w:rsid w:val="00DB56B3"/>
    <w:rsid w:val="00DE24BE"/>
    <w:rsid w:val="00DE5B21"/>
    <w:rsid w:val="00DE7479"/>
    <w:rsid w:val="00DF128B"/>
    <w:rsid w:val="00DF2F94"/>
    <w:rsid w:val="00E1113C"/>
    <w:rsid w:val="00E11688"/>
    <w:rsid w:val="00E25091"/>
    <w:rsid w:val="00E26EAA"/>
    <w:rsid w:val="00E27CC3"/>
    <w:rsid w:val="00E30FCA"/>
    <w:rsid w:val="00E36F97"/>
    <w:rsid w:val="00E42057"/>
    <w:rsid w:val="00E44C4F"/>
    <w:rsid w:val="00E50792"/>
    <w:rsid w:val="00E62BEE"/>
    <w:rsid w:val="00E63075"/>
    <w:rsid w:val="00E644BF"/>
    <w:rsid w:val="00E66F6C"/>
    <w:rsid w:val="00E73A40"/>
    <w:rsid w:val="00E806E3"/>
    <w:rsid w:val="00E814FE"/>
    <w:rsid w:val="00E81697"/>
    <w:rsid w:val="00E84119"/>
    <w:rsid w:val="00E87D86"/>
    <w:rsid w:val="00E928D4"/>
    <w:rsid w:val="00E939BD"/>
    <w:rsid w:val="00E94852"/>
    <w:rsid w:val="00EA0CC4"/>
    <w:rsid w:val="00EA4D25"/>
    <w:rsid w:val="00EA576F"/>
    <w:rsid w:val="00EB0255"/>
    <w:rsid w:val="00EB3838"/>
    <w:rsid w:val="00EB4C77"/>
    <w:rsid w:val="00EB68CC"/>
    <w:rsid w:val="00EB7A67"/>
    <w:rsid w:val="00EC1285"/>
    <w:rsid w:val="00EC2095"/>
    <w:rsid w:val="00EC5E51"/>
    <w:rsid w:val="00EC76B0"/>
    <w:rsid w:val="00ED48AE"/>
    <w:rsid w:val="00EE0137"/>
    <w:rsid w:val="00EE5FEF"/>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1A1A"/>
    <w:rsid w:val="00F62595"/>
    <w:rsid w:val="00F7168A"/>
    <w:rsid w:val="00F71C13"/>
    <w:rsid w:val="00F71D77"/>
    <w:rsid w:val="00F77228"/>
    <w:rsid w:val="00F85490"/>
    <w:rsid w:val="00F90567"/>
    <w:rsid w:val="00F91352"/>
    <w:rsid w:val="00F922ED"/>
    <w:rsid w:val="00F96AF9"/>
    <w:rsid w:val="00FA2818"/>
    <w:rsid w:val="00FA3A85"/>
    <w:rsid w:val="00FB12E6"/>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AC5BF"/>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90948">
      <w:bodyDiv w:val="1"/>
      <w:marLeft w:val="0"/>
      <w:marRight w:val="0"/>
      <w:marTop w:val="0"/>
      <w:marBottom w:val="0"/>
      <w:divBdr>
        <w:top w:val="none" w:sz="0" w:space="0" w:color="auto"/>
        <w:left w:val="none" w:sz="0" w:space="0" w:color="auto"/>
        <w:bottom w:val="none" w:sz="0" w:space="0" w:color="auto"/>
        <w:right w:val="none" w:sz="0" w:space="0" w:color="auto"/>
      </w:divBdr>
    </w:div>
    <w:div w:id="1367560793">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8</Pages>
  <Words>3068</Words>
  <Characters>17892</Characters>
  <Application>Microsoft Office Word</Application>
  <DocSecurity>0</DocSecurity>
  <Lines>365</Lines>
  <Paragraphs>138</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Kerry Knudten-Erkelenz</cp:lastModifiedBy>
  <cp:revision>75</cp:revision>
  <cp:lastPrinted>2005-05-20T12:11:00Z</cp:lastPrinted>
  <dcterms:created xsi:type="dcterms:W3CDTF">2021-07-07T06:52:00Z</dcterms:created>
  <dcterms:modified xsi:type="dcterms:W3CDTF">2024-06-08T11:40:00Z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y fmtid="{D5CDD505-2E9C-101B-9397-08002B2CF9AE}" pid="55" name="SD_IntegrationInfoAdded">
    <vt:bool>true</vt:bool>
  </property>
</Properties>
</file>