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4D0C0EEC" w14:textId="77777777" w:rsidTr="00F320AA">
        <w:trPr>
          <w:cantSplit/>
        </w:trPr>
        <w:tc>
          <w:tcPr>
            <w:tcW w:w="1418" w:type="dxa"/>
            <w:vAlign w:val="center"/>
          </w:tcPr>
          <w:p w14:paraId="183D3F8C" w14:textId="4C57C29F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20BE4BC" wp14:editId="2D52F26A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00BB9E01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38A92C0F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622A987C" wp14:editId="1728ADEF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BC81E16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62A54002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7895897B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71F96C07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6736E2C5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3FA682EC" w14:textId="3C836B12" w:rsidR="00A066F1" w:rsidRPr="00C324A8" w:rsidRDefault="000410AD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  <w:r w:rsidRPr="000410AD">
              <w:rPr>
                <w:rFonts w:ascii="Verdana" w:hAnsi="Verdana"/>
                <w:b/>
                <w:sz w:val="20"/>
                <w:lang w:val="it-IT"/>
              </w:rPr>
              <w:t xml:space="preserve">Doc. </w:t>
            </w:r>
            <w:proofErr w:type="gramStart"/>
            <w:r w:rsidRPr="000410AD">
              <w:rPr>
                <w:rFonts w:ascii="Verdana" w:hAnsi="Verdana"/>
                <w:b/>
                <w:sz w:val="20"/>
                <w:lang w:val="it-IT"/>
              </w:rPr>
              <w:t>CPG(</w:t>
            </w:r>
            <w:proofErr w:type="gramEnd"/>
            <w:r w:rsidRPr="000410AD">
              <w:rPr>
                <w:rFonts w:ascii="Verdana" w:hAnsi="Verdana"/>
                <w:b/>
                <w:sz w:val="20"/>
                <w:lang w:val="it-IT"/>
              </w:rPr>
              <w:t>23)0</w:t>
            </w:r>
            <w:r w:rsidR="0064146F">
              <w:rPr>
                <w:rFonts w:ascii="Verdana" w:hAnsi="Verdana"/>
                <w:b/>
                <w:sz w:val="20"/>
                <w:lang w:val="it-IT"/>
              </w:rPr>
              <w:t>60</w:t>
            </w:r>
            <w:r w:rsidRPr="000410AD">
              <w:rPr>
                <w:rFonts w:ascii="Verdana" w:hAnsi="Verdana"/>
                <w:b/>
                <w:sz w:val="20"/>
                <w:lang w:val="it-IT"/>
              </w:rPr>
              <w:t xml:space="preserve"> ANNEX </w:t>
            </w:r>
            <w:r w:rsidR="004C76E9">
              <w:rPr>
                <w:rFonts w:ascii="Verdana" w:hAnsi="Verdana"/>
                <w:b/>
                <w:sz w:val="20"/>
                <w:lang w:val="it-IT"/>
              </w:rPr>
              <w:t>V-13</w:t>
            </w:r>
          </w:p>
        </w:tc>
      </w:tr>
      <w:tr w:rsidR="00A066F1" w:rsidRPr="0064146F" w14:paraId="7CE11C77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08B22FA6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0" w:name="dnum" w:colFirst="1" w:colLast="1"/>
            <w:bookmarkStart w:id="1" w:name="dmeeting" w:colFirst="0" w:colLast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36DAA462" w14:textId="619DC2F9" w:rsidR="00A066F1" w:rsidRPr="004C76E9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  <w:lang w:val="it-IT"/>
              </w:rPr>
            </w:pPr>
            <w:r w:rsidRPr="004C76E9">
              <w:rPr>
                <w:rFonts w:ascii="Verdana" w:hAnsi="Verdana"/>
                <w:b/>
                <w:sz w:val="20"/>
                <w:lang w:val="it-IT"/>
              </w:rPr>
              <w:t>Addendum 13 to</w:t>
            </w:r>
            <w:r w:rsidRPr="004C76E9">
              <w:rPr>
                <w:rFonts w:ascii="Verdana" w:hAnsi="Verdana"/>
                <w:b/>
                <w:sz w:val="20"/>
                <w:lang w:val="it-IT"/>
              </w:rPr>
              <w:br/>
            </w:r>
            <w:proofErr w:type="spellStart"/>
            <w:r w:rsidRPr="004C76E9">
              <w:rPr>
                <w:rFonts w:ascii="Verdana" w:hAnsi="Verdana"/>
                <w:b/>
                <w:sz w:val="20"/>
                <w:lang w:val="it-IT"/>
              </w:rPr>
              <w:t>Document</w:t>
            </w:r>
            <w:proofErr w:type="spellEnd"/>
            <w:r w:rsidRPr="004C76E9">
              <w:rPr>
                <w:rFonts w:ascii="Verdana" w:hAnsi="Verdana"/>
                <w:b/>
                <w:sz w:val="20"/>
                <w:lang w:val="it-IT"/>
              </w:rPr>
              <w:t xml:space="preserve"> </w:t>
            </w:r>
            <w:r w:rsidR="008A5211" w:rsidRPr="004C76E9">
              <w:rPr>
                <w:rFonts w:ascii="Verdana" w:hAnsi="Verdana"/>
                <w:b/>
                <w:sz w:val="20"/>
                <w:lang w:val="it-IT"/>
              </w:rPr>
              <w:t>XXXX</w:t>
            </w:r>
            <w:r w:rsidR="00A066F1" w:rsidRPr="004C76E9">
              <w:rPr>
                <w:rFonts w:ascii="Verdana" w:hAnsi="Verdana"/>
                <w:b/>
                <w:sz w:val="20"/>
                <w:lang w:val="it-IT"/>
              </w:rPr>
              <w:t>-</w:t>
            </w:r>
            <w:r w:rsidR="005E10C9" w:rsidRPr="004C76E9">
              <w:rPr>
                <w:rFonts w:ascii="Verdana" w:hAnsi="Verdana"/>
                <w:b/>
                <w:sz w:val="20"/>
                <w:lang w:val="it-IT"/>
              </w:rPr>
              <w:t>E</w:t>
            </w:r>
          </w:p>
        </w:tc>
      </w:tr>
      <w:tr w:rsidR="00A066F1" w:rsidRPr="00C324A8" w14:paraId="0AD8E40C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30DEB67" w14:textId="77777777" w:rsidR="00A066F1" w:rsidRPr="004C76E9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it-IT"/>
              </w:rPr>
            </w:pPr>
            <w:bookmarkStart w:id="2" w:name="ddate" w:colFirst="1" w:colLast="1"/>
            <w:bookmarkStart w:id="3" w:name="dblank" w:colFirst="0" w:colLast="0"/>
            <w:bookmarkEnd w:id="0"/>
            <w:bookmarkEnd w:id="1"/>
          </w:p>
        </w:tc>
        <w:tc>
          <w:tcPr>
            <w:tcW w:w="3120" w:type="dxa"/>
            <w:gridSpan w:val="2"/>
          </w:tcPr>
          <w:p w14:paraId="280CB718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4 May 2023</w:t>
            </w:r>
          </w:p>
        </w:tc>
      </w:tr>
      <w:tr w:rsidR="00A066F1" w:rsidRPr="00C324A8" w14:paraId="6402CDA4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DB1490C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4" w:name="dbluepink" w:colFirst="0" w:colLast="0"/>
            <w:bookmarkStart w:id="5" w:name="dorlang" w:colFirst="1" w:colLast="1"/>
            <w:bookmarkEnd w:id="2"/>
            <w:bookmarkEnd w:id="3"/>
          </w:p>
        </w:tc>
        <w:tc>
          <w:tcPr>
            <w:tcW w:w="3120" w:type="dxa"/>
            <w:gridSpan w:val="2"/>
          </w:tcPr>
          <w:p w14:paraId="554C1D09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121BB547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A97F195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20C401E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C061798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3471CB2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A89D309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3120BEBA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C8A4FB6" w14:textId="77777777" w:rsidR="00E55816" w:rsidRDefault="00E55816" w:rsidP="00E55816">
            <w:pPr>
              <w:pStyle w:val="Title2"/>
            </w:pPr>
          </w:p>
        </w:tc>
      </w:tr>
      <w:bookmarkEnd w:id="4"/>
      <w:bookmarkEnd w:id="5"/>
      <w:tr w:rsidR="00720860" w:rsidRPr="00FD63DC" w14:paraId="11EBB594" w14:textId="77777777" w:rsidTr="00C62DE3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FA32C6A" w14:textId="77777777" w:rsidR="00720860" w:rsidRPr="00FD63DC" w:rsidRDefault="00720860" w:rsidP="00C62DE3">
            <w:pPr>
              <w:pStyle w:val="Agendaitem"/>
            </w:pPr>
            <w:r w:rsidRPr="00FD63DC">
              <w:t xml:space="preserve">Agenda </w:t>
            </w:r>
            <w:proofErr w:type="spellStart"/>
            <w:r w:rsidRPr="00FD63DC">
              <w:t>item</w:t>
            </w:r>
            <w:proofErr w:type="spellEnd"/>
            <w:r w:rsidRPr="00FD63DC">
              <w:t xml:space="preserve"> 1.13</w:t>
            </w:r>
          </w:p>
        </w:tc>
      </w:tr>
    </w:tbl>
    <w:p w14:paraId="1AA1A4CB" w14:textId="77777777" w:rsidR="00720860" w:rsidRPr="00FD28E5" w:rsidRDefault="00720860" w:rsidP="00720860">
      <w:r w:rsidRPr="00FD63DC">
        <w:t>1.13</w:t>
      </w:r>
      <w:r w:rsidRPr="00FD63DC">
        <w:tab/>
        <w:t xml:space="preserve">to consider a possible upgrade of the allocation of the frequency band 14.8-15.35 GHz to the space research service, in accordance with Resolution </w:t>
      </w:r>
      <w:r w:rsidRPr="00FD63DC">
        <w:rPr>
          <w:b/>
          <w:bCs/>
        </w:rPr>
        <w:t>661 (WRC</w:t>
      </w:r>
      <w:r w:rsidRPr="00FD63DC">
        <w:rPr>
          <w:b/>
          <w:bCs/>
        </w:rPr>
        <w:noBreakHyphen/>
        <w:t>19)</w:t>
      </w:r>
      <w:r w:rsidRPr="00FD63DC">
        <w:t>;</w:t>
      </w:r>
    </w:p>
    <w:p w14:paraId="447DF617" w14:textId="2D6D296B" w:rsidR="00241FA2" w:rsidRPr="004C76E9" w:rsidRDefault="0005631B" w:rsidP="0005631B">
      <w:pPr>
        <w:pStyle w:val="Headingb"/>
        <w:rPr>
          <w:lang w:val="en-US"/>
        </w:rPr>
      </w:pPr>
      <w:r w:rsidRPr="004C76E9">
        <w:rPr>
          <w:lang w:val="en-US"/>
        </w:rPr>
        <w:t>Introduction</w:t>
      </w:r>
    </w:p>
    <w:p w14:paraId="5FDFCD73" w14:textId="3B49F858" w:rsidR="0005631B" w:rsidRPr="0005756D" w:rsidRDefault="0005631B" w:rsidP="0005631B">
      <w:pPr>
        <w:rPr>
          <w:lang w:val="en-US"/>
        </w:rPr>
      </w:pPr>
      <w:r w:rsidRPr="0005756D">
        <w:rPr>
          <w:lang w:val="en-US"/>
        </w:rPr>
        <w:t xml:space="preserve">Resolution </w:t>
      </w:r>
      <w:r w:rsidRPr="0005756D">
        <w:rPr>
          <w:b/>
          <w:bCs/>
          <w:lang w:val="en-US"/>
        </w:rPr>
        <w:t>661 (WRC-19)</w:t>
      </w:r>
      <w:r w:rsidRPr="0005756D">
        <w:rPr>
          <w:lang w:val="en-US"/>
        </w:rPr>
        <w:t xml:space="preserve"> </w:t>
      </w:r>
      <w:r w:rsidRPr="0005631B">
        <w:rPr>
          <w:i/>
          <w:iCs/>
        </w:rPr>
        <w:t>resolves to invite the ITU Radiocommunication Sector</w:t>
      </w:r>
      <w:r w:rsidRPr="0005756D">
        <w:rPr>
          <w:lang w:val="en-US"/>
        </w:rPr>
        <w:t>:</w:t>
      </w:r>
    </w:p>
    <w:p w14:paraId="29FE2B86" w14:textId="77777777" w:rsidR="0005631B" w:rsidRDefault="0005631B" w:rsidP="0005631B">
      <w:r>
        <w:t>1</w:t>
      </w:r>
      <w:r>
        <w:tab/>
        <w:t xml:space="preserve">to investigate and identify all relevant scenarios mentioned in </w:t>
      </w:r>
      <w:r>
        <w:rPr>
          <w:i/>
        </w:rPr>
        <w:t>recognizing</w:t>
      </w:r>
      <w:r>
        <w:t> </w:t>
      </w:r>
      <w:r>
        <w:rPr>
          <w:i/>
        </w:rPr>
        <w:t>a)</w:t>
      </w:r>
      <w:r>
        <w:t xml:space="preserve"> to </w:t>
      </w:r>
      <w:r>
        <w:rPr>
          <w:i/>
        </w:rPr>
        <w:t>c)</w:t>
      </w:r>
      <w:r>
        <w:t xml:space="preserve"> that need to be considered in compatibility and sharing studies, taking into account the latest relevant ITU Radiocommunication Sector (ITU</w:t>
      </w:r>
      <w:r>
        <w:noBreakHyphen/>
        <w:t>R) Recommendations;</w:t>
      </w:r>
    </w:p>
    <w:p w14:paraId="16D89012" w14:textId="77777777" w:rsidR="0005631B" w:rsidRDefault="0005631B" w:rsidP="0005631B">
      <w:pPr>
        <w:rPr>
          <w:i/>
        </w:rPr>
      </w:pPr>
      <w:r>
        <w:t>2</w:t>
      </w:r>
      <w:r>
        <w:tab/>
        <w:t>to conduct and complete in time for WRC</w:t>
      </w:r>
      <w:r>
        <w:noBreakHyphen/>
        <w:t xml:space="preserve">23 sharing and compatibility studies in order to determine the feasibility of upgrading the SRS allocation to primary status in the frequency band 14.8-15.35 GHz, with a view to ensuring protection of the primary services referred to in </w:t>
      </w:r>
      <w:r>
        <w:rPr>
          <w:i/>
        </w:rPr>
        <w:t xml:space="preserve">considering a) </w:t>
      </w:r>
      <w:r>
        <w:t>and</w:t>
      </w:r>
      <w:r>
        <w:rPr>
          <w:i/>
        </w:rPr>
        <w:t xml:space="preserve"> d) </w:t>
      </w:r>
      <w:r>
        <w:t xml:space="preserve">and taking into account </w:t>
      </w:r>
      <w:r>
        <w:rPr>
          <w:i/>
        </w:rPr>
        <w:t>recognizing</w:t>
      </w:r>
      <w:r>
        <w:t> </w:t>
      </w:r>
      <w:r>
        <w:rPr>
          <w:i/>
        </w:rPr>
        <w:t>e)</w:t>
      </w:r>
      <w:r>
        <w:t>;</w:t>
      </w:r>
    </w:p>
    <w:p w14:paraId="0D1BB498" w14:textId="77777777" w:rsidR="0005631B" w:rsidRDefault="0005631B" w:rsidP="0005631B">
      <w:r>
        <w:t>3</w:t>
      </w:r>
      <w:r>
        <w:tab/>
        <w:t xml:space="preserve">to determine the technical and regulatory conditions according to the results of the studies mentioned in </w:t>
      </w:r>
      <w:r>
        <w:rPr>
          <w:i/>
        </w:rPr>
        <w:t>resolves to invite the ITU Radiocommunication Sector </w:t>
      </w:r>
      <w:r>
        <w:t>2,</w:t>
      </w:r>
    </w:p>
    <w:p w14:paraId="0F59B960" w14:textId="77777777" w:rsidR="00C91263" w:rsidRDefault="00C91263" w:rsidP="0005631B">
      <w:pPr>
        <w:rPr>
          <w:lang w:val="en-US"/>
        </w:rPr>
      </w:pPr>
    </w:p>
    <w:p w14:paraId="25F5D5F1" w14:textId="025A0843" w:rsidR="0005631B" w:rsidRPr="0005756D" w:rsidRDefault="0005631B" w:rsidP="0005631B">
      <w:pPr>
        <w:rPr>
          <w:lang w:val="en-US"/>
        </w:rPr>
      </w:pPr>
      <w:r w:rsidRPr="0005756D">
        <w:rPr>
          <w:lang w:val="en-US"/>
        </w:rPr>
        <w:t>During th</w:t>
      </w:r>
      <w:r>
        <w:rPr>
          <w:lang w:val="en-US"/>
        </w:rPr>
        <w:t>is</w:t>
      </w:r>
      <w:r w:rsidRPr="0005756D">
        <w:rPr>
          <w:lang w:val="en-US"/>
        </w:rPr>
        <w:t xml:space="preserve"> study period, ITU-R has developed </w:t>
      </w:r>
      <w:r w:rsidR="00C91263">
        <w:rPr>
          <w:lang w:val="en-US"/>
        </w:rPr>
        <w:t xml:space="preserve">the </w:t>
      </w:r>
      <w:r w:rsidR="00FD63DC">
        <w:rPr>
          <w:lang w:val="en-US"/>
        </w:rPr>
        <w:t>p</w:t>
      </w:r>
      <w:r w:rsidR="00C91263" w:rsidRPr="0012285D">
        <w:rPr>
          <w:lang w:val="en-US"/>
        </w:rPr>
        <w:t xml:space="preserve">reliminary </w:t>
      </w:r>
      <w:r w:rsidR="00FD63DC">
        <w:rPr>
          <w:lang w:val="en-US"/>
        </w:rPr>
        <w:t>d</w:t>
      </w:r>
      <w:r w:rsidR="00C91263" w:rsidRPr="0012285D">
        <w:rPr>
          <w:lang w:val="en-US"/>
        </w:rPr>
        <w:t xml:space="preserve">raft </w:t>
      </w:r>
      <w:r w:rsidR="00FD63DC">
        <w:rPr>
          <w:lang w:val="en-US"/>
        </w:rPr>
        <w:t>n</w:t>
      </w:r>
      <w:r w:rsidR="00C91263" w:rsidRPr="0012285D">
        <w:rPr>
          <w:lang w:val="en-US"/>
        </w:rPr>
        <w:t xml:space="preserve">ew Report ITU-R </w:t>
      </w:r>
      <w:proofErr w:type="gramStart"/>
      <w:r w:rsidR="00C91263" w:rsidRPr="0012285D">
        <w:rPr>
          <w:lang w:val="en-US"/>
        </w:rPr>
        <w:t>SA.[</w:t>
      </w:r>
      <w:proofErr w:type="gramEnd"/>
      <w:r w:rsidR="00C91263" w:rsidRPr="0012285D">
        <w:rPr>
          <w:lang w:val="en-US"/>
        </w:rPr>
        <w:t>15 GH</w:t>
      </w:r>
      <w:r w:rsidR="00515C3F" w:rsidRPr="0012285D">
        <w:rPr>
          <w:lang w:val="en-US"/>
        </w:rPr>
        <w:t>Z</w:t>
      </w:r>
      <w:r w:rsidR="00C91263" w:rsidRPr="0012285D">
        <w:rPr>
          <w:lang w:val="en-US"/>
        </w:rPr>
        <w:t xml:space="preserve"> SRS </w:t>
      </w:r>
      <w:r w:rsidR="00515C3F" w:rsidRPr="0012285D">
        <w:rPr>
          <w:lang w:val="en-US"/>
        </w:rPr>
        <w:t>SHARING</w:t>
      </w:r>
      <w:r w:rsidR="00C91263" w:rsidRPr="0012285D">
        <w:rPr>
          <w:lang w:val="en-US"/>
        </w:rPr>
        <w:t xml:space="preserve">] </w:t>
      </w:r>
      <w:r w:rsidRPr="0012285D">
        <w:rPr>
          <w:lang w:val="en-US"/>
        </w:rPr>
        <w:t>that contains sharing and co</w:t>
      </w:r>
      <w:r w:rsidRPr="0005756D">
        <w:rPr>
          <w:lang w:val="en-US"/>
        </w:rPr>
        <w:t xml:space="preserve">mpatibility studies in order to determine the feasibility of upgrading the </w:t>
      </w:r>
      <w:r>
        <w:t xml:space="preserve">space research service (SRS) </w:t>
      </w:r>
      <w:r w:rsidRPr="0005756D">
        <w:rPr>
          <w:lang w:val="en-US"/>
        </w:rPr>
        <w:t xml:space="preserve">allocation to primary status in the frequency band 14.8-15.35 GHz, with a view </w:t>
      </w:r>
      <w:r>
        <w:rPr>
          <w:lang w:val="en-US"/>
        </w:rPr>
        <w:t>of</w:t>
      </w:r>
      <w:r w:rsidRPr="0005756D">
        <w:rPr>
          <w:lang w:val="en-US"/>
        </w:rPr>
        <w:t xml:space="preserve"> ensuring protection of the primary services.</w:t>
      </w:r>
    </w:p>
    <w:p w14:paraId="631D4834" w14:textId="7B2258A0" w:rsidR="0005631B" w:rsidRPr="0005756D" w:rsidRDefault="0005631B" w:rsidP="0005631B">
      <w:pPr>
        <w:rPr>
          <w:lang w:val="en-US"/>
        </w:rPr>
      </w:pPr>
      <w:r w:rsidRPr="0005756D">
        <w:rPr>
          <w:lang w:val="en-US"/>
        </w:rPr>
        <w:t>CEPT supports modifications to the Radio Regulations towards facilitating a new upgrade of the allocation</w:t>
      </w:r>
      <w:r>
        <w:rPr>
          <w:lang w:val="en-US"/>
        </w:rPr>
        <w:t xml:space="preserve"> to primary status</w:t>
      </w:r>
      <w:r w:rsidRPr="0005756D">
        <w:rPr>
          <w:lang w:val="en-US"/>
        </w:rPr>
        <w:t xml:space="preserve"> of the frequency band 14.8-15.35 GHz to </w:t>
      </w:r>
      <w:r>
        <w:rPr>
          <w:lang w:val="en-US"/>
        </w:rPr>
        <w:t>SRS</w:t>
      </w:r>
      <w:r w:rsidRPr="0005756D">
        <w:rPr>
          <w:lang w:val="en-US"/>
        </w:rPr>
        <w:t xml:space="preserve">, while protecting the services allocated in the </w:t>
      </w:r>
      <w:r>
        <w:rPr>
          <w:lang w:val="en-US"/>
        </w:rPr>
        <w:t xml:space="preserve">frequency </w:t>
      </w:r>
      <w:r w:rsidRPr="0005756D">
        <w:rPr>
          <w:lang w:val="en-US"/>
        </w:rPr>
        <w:t xml:space="preserve">band and in </w:t>
      </w:r>
      <w:r>
        <w:rPr>
          <w:lang w:val="en-US"/>
        </w:rPr>
        <w:t xml:space="preserve">the </w:t>
      </w:r>
      <w:r w:rsidRPr="0005756D">
        <w:rPr>
          <w:lang w:val="en-US"/>
        </w:rPr>
        <w:t xml:space="preserve">adjacent </w:t>
      </w:r>
      <w:r>
        <w:rPr>
          <w:lang w:val="en-US"/>
        </w:rPr>
        <w:t xml:space="preserve">frequency </w:t>
      </w:r>
      <w:r w:rsidRPr="0005756D">
        <w:rPr>
          <w:lang w:val="en-US"/>
        </w:rPr>
        <w:t>bands.</w:t>
      </w:r>
    </w:p>
    <w:p w14:paraId="7567E1EE" w14:textId="45F1A95A" w:rsidR="0005631B" w:rsidRPr="0005756D" w:rsidRDefault="0005631B" w:rsidP="0005631B">
      <w:pPr>
        <w:rPr>
          <w:lang w:val="en-US"/>
        </w:rPr>
      </w:pPr>
      <w:r w:rsidRPr="0005756D">
        <w:rPr>
          <w:lang w:val="en-US"/>
        </w:rPr>
        <w:t xml:space="preserve">CEPT supports quoting the </w:t>
      </w:r>
      <w:proofErr w:type="spellStart"/>
      <w:r w:rsidRPr="0005756D">
        <w:rPr>
          <w:lang w:val="en-US"/>
        </w:rPr>
        <w:t>epfd</w:t>
      </w:r>
      <w:proofErr w:type="spellEnd"/>
      <w:r w:rsidRPr="0005756D">
        <w:rPr>
          <w:lang w:val="en-US"/>
        </w:rPr>
        <w:t xml:space="preserve"> figure, in the footnote proposed, for the protection of the </w:t>
      </w:r>
      <w:r>
        <w:rPr>
          <w:lang w:val="en-US"/>
        </w:rPr>
        <w:t>radio astronomy service (RAS)</w:t>
      </w:r>
      <w:r w:rsidRPr="0005756D">
        <w:rPr>
          <w:lang w:val="en-US"/>
        </w:rPr>
        <w:t xml:space="preserve">, taken from the reply liaison to </w:t>
      </w:r>
      <w:r>
        <w:rPr>
          <w:lang w:val="en-US"/>
        </w:rPr>
        <w:t xml:space="preserve">ITU-R </w:t>
      </w:r>
      <w:r w:rsidRPr="0005756D">
        <w:rPr>
          <w:lang w:val="en-US"/>
        </w:rPr>
        <w:t>W</w:t>
      </w:r>
      <w:r>
        <w:rPr>
          <w:lang w:val="en-US"/>
        </w:rPr>
        <w:t xml:space="preserve">orking </w:t>
      </w:r>
      <w:r w:rsidRPr="0005756D">
        <w:rPr>
          <w:lang w:val="en-US"/>
        </w:rPr>
        <w:t>P</w:t>
      </w:r>
      <w:r>
        <w:rPr>
          <w:lang w:val="en-US"/>
        </w:rPr>
        <w:t xml:space="preserve">arty </w:t>
      </w:r>
      <w:r w:rsidRPr="0005756D">
        <w:rPr>
          <w:lang w:val="en-US"/>
        </w:rPr>
        <w:t xml:space="preserve">7B, from </w:t>
      </w:r>
      <w:r>
        <w:rPr>
          <w:lang w:val="en-US"/>
        </w:rPr>
        <w:t xml:space="preserve">ITU-R </w:t>
      </w:r>
      <w:r w:rsidRPr="0005756D">
        <w:rPr>
          <w:lang w:val="en-US"/>
        </w:rPr>
        <w:t>W</w:t>
      </w:r>
      <w:r>
        <w:rPr>
          <w:lang w:val="en-US"/>
        </w:rPr>
        <w:t>orking Party 7D</w:t>
      </w:r>
      <w:r w:rsidRPr="0005756D">
        <w:rPr>
          <w:lang w:val="en-US"/>
        </w:rPr>
        <w:t>, in document WP7B/062.</w:t>
      </w:r>
    </w:p>
    <w:p w14:paraId="2D536F02" w14:textId="162962A9" w:rsidR="0005631B" w:rsidRPr="0005756D" w:rsidRDefault="0005631B" w:rsidP="0005631B">
      <w:pPr>
        <w:rPr>
          <w:lang w:val="en-US"/>
        </w:rPr>
      </w:pPr>
      <w:r w:rsidRPr="0005756D">
        <w:rPr>
          <w:lang w:val="en-US"/>
        </w:rPr>
        <w:lastRenderedPageBreak/>
        <w:t xml:space="preserve">This </w:t>
      </w:r>
      <w:r>
        <w:rPr>
          <w:lang w:val="en-US"/>
        </w:rPr>
        <w:t>European Common Proposal</w:t>
      </w:r>
      <w:r w:rsidRPr="0005756D">
        <w:rPr>
          <w:lang w:val="en-US"/>
        </w:rPr>
        <w:t xml:space="preserve"> is </w:t>
      </w:r>
      <w:r>
        <w:rPr>
          <w:lang w:val="en-US"/>
        </w:rPr>
        <w:t>derived from</w:t>
      </w:r>
      <w:r w:rsidRPr="0005756D">
        <w:rPr>
          <w:lang w:val="en-US"/>
        </w:rPr>
        <w:t xml:space="preserve"> </w:t>
      </w:r>
      <w:r w:rsidRPr="00D20BA0">
        <w:rPr>
          <w:lang w:val="en-US"/>
        </w:rPr>
        <w:t xml:space="preserve">Method </w:t>
      </w:r>
      <w:r w:rsidRPr="00941F37">
        <w:rPr>
          <w:lang w:val="en-US"/>
        </w:rPr>
        <w:t>D</w:t>
      </w:r>
      <w:r w:rsidRPr="00D20BA0">
        <w:rPr>
          <w:lang w:val="en-US"/>
        </w:rPr>
        <w:t xml:space="preserve"> of the CPM </w:t>
      </w:r>
      <w:r>
        <w:rPr>
          <w:lang w:val="en-US"/>
        </w:rPr>
        <w:t>Report</w:t>
      </w:r>
      <w:r w:rsidRPr="003D0C46">
        <w:rPr>
          <w:lang w:val="en-US"/>
        </w:rPr>
        <w:t xml:space="preserve"> and</w:t>
      </w:r>
      <w:r>
        <w:rPr>
          <w:lang w:val="en-US"/>
        </w:rPr>
        <w:t xml:space="preserve"> </w:t>
      </w:r>
      <w:r w:rsidRPr="00EB02EF">
        <w:rPr>
          <w:lang w:val="en-US"/>
        </w:rPr>
        <w:t>proposes the following Regulatory measures:</w:t>
      </w:r>
    </w:p>
    <w:p w14:paraId="74D669D4" w14:textId="77777777" w:rsidR="0005631B" w:rsidRPr="0005756D" w:rsidRDefault="0005631B" w:rsidP="0005631B">
      <w:pPr>
        <w:pStyle w:val="Paragraphedeliste"/>
        <w:numPr>
          <w:ilvl w:val="0"/>
          <w:numId w:val="3"/>
        </w:numPr>
        <w:rPr>
          <w:lang w:val="en-US"/>
        </w:rPr>
      </w:pPr>
      <w:r w:rsidRPr="0005756D">
        <w:rPr>
          <w:lang w:val="en-US"/>
        </w:rPr>
        <w:t>To upgrade to primary status the allocation of the frequency band 14.8-15.35 GHz for the SRS with provisions to avoid imposing constraints on existing primary services in the frequency band 14.8 15.35 GHz.</w:t>
      </w:r>
    </w:p>
    <w:p w14:paraId="60A6DC81" w14:textId="414E6F57" w:rsidR="0005631B" w:rsidRDefault="0005631B" w:rsidP="0005631B">
      <w:pPr>
        <w:pStyle w:val="Paragraphedeliste"/>
        <w:numPr>
          <w:ilvl w:val="0"/>
          <w:numId w:val="3"/>
        </w:numPr>
        <w:rPr>
          <w:lang w:val="en-US"/>
        </w:rPr>
      </w:pPr>
      <w:r w:rsidRPr="0005756D">
        <w:rPr>
          <w:lang w:val="en-US"/>
        </w:rPr>
        <w:t xml:space="preserve">To address the sharing and compatibility between SRS and </w:t>
      </w:r>
      <w:r w:rsidR="00197B7D">
        <w:rPr>
          <w:lang w:val="en-US"/>
        </w:rPr>
        <w:t>the aeronautical mobile service (</w:t>
      </w:r>
      <w:r w:rsidRPr="0005756D">
        <w:rPr>
          <w:lang w:val="en-US"/>
        </w:rPr>
        <w:t>AMS</w:t>
      </w:r>
      <w:r w:rsidR="00197B7D">
        <w:rPr>
          <w:lang w:val="en-US"/>
        </w:rPr>
        <w:t>)</w:t>
      </w:r>
      <w:r w:rsidRPr="0005756D">
        <w:rPr>
          <w:lang w:val="en-US"/>
        </w:rPr>
        <w:t>. Although the upgrading of SRS</w:t>
      </w:r>
      <w:r w:rsidR="00197B7D">
        <w:rPr>
          <w:lang w:val="en-US"/>
        </w:rPr>
        <w:t xml:space="preserve"> allocation to primary status</w:t>
      </w:r>
      <w:r w:rsidR="00640EDB">
        <w:rPr>
          <w:lang w:val="en-US"/>
        </w:rPr>
        <w:t xml:space="preserve"> is proposed</w:t>
      </w:r>
      <w:r w:rsidRPr="0005756D">
        <w:rPr>
          <w:lang w:val="en-US"/>
        </w:rPr>
        <w:t xml:space="preserve">, the current studies of the impact of AMS on SRS </w:t>
      </w:r>
      <w:r w:rsidR="00197B7D">
        <w:rPr>
          <w:lang w:val="en-US"/>
        </w:rPr>
        <w:t>e</w:t>
      </w:r>
      <w:r w:rsidRPr="0005756D">
        <w:rPr>
          <w:lang w:val="en-US"/>
        </w:rPr>
        <w:t xml:space="preserve">arth stations lead to a large horizontal separation distance to avoid exceeding the SRS threshold which would impose constraints on the AMS systems. </w:t>
      </w:r>
      <w:r w:rsidR="00640EDB">
        <w:rPr>
          <w:lang w:val="en-US"/>
        </w:rPr>
        <w:t>Therefore, modifications to</w:t>
      </w:r>
      <w:r w:rsidRPr="0005756D">
        <w:rPr>
          <w:lang w:val="en-US"/>
        </w:rPr>
        <w:t xml:space="preserve"> the </w:t>
      </w:r>
      <w:r w:rsidR="00197B7D">
        <w:rPr>
          <w:lang w:val="en-US"/>
        </w:rPr>
        <w:t>Radio Regulations (RR)</w:t>
      </w:r>
      <w:r w:rsidRPr="0005756D">
        <w:rPr>
          <w:lang w:val="en-US"/>
        </w:rPr>
        <w:t xml:space="preserve"> </w:t>
      </w:r>
      <w:r w:rsidR="00640EDB">
        <w:rPr>
          <w:lang w:val="en-US"/>
        </w:rPr>
        <w:t xml:space="preserve">are proposed </w:t>
      </w:r>
      <w:r w:rsidRPr="0005756D">
        <w:rPr>
          <w:lang w:val="en-US"/>
        </w:rPr>
        <w:t>with the condition that SRS shall not claim protection from AMS.</w:t>
      </w:r>
    </w:p>
    <w:p w14:paraId="7C662FAE" w14:textId="4AFBFD85" w:rsidR="0005631B" w:rsidRPr="00210402" w:rsidRDefault="0005631B" w:rsidP="0005631B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To </w:t>
      </w:r>
      <w:r w:rsidRPr="000E06B8">
        <w:t>provide further protection to RAS</w:t>
      </w:r>
      <w:r>
        <w:t>.</w:t>
      </w:r>
    </w:p>
    <w:p w14:paraId="774018D9" w14:textId="77777777" w:rsidR="0005631B" w:rsidRDefault="0005631B" w:rsidP="0005631B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To </w:t>
      </w:r>
      <w:r w:rsidRPr="00210402">
        <w:rPr>
          <w:lang w:val="en-US"/>
        </w:rPr>
        <w:t>avoid the usage of deep space missions in that frequency band because the impact of those missions was not studied.</w:t>
      </w:r>
    </w:p>
    <w:p w14:paraId="710639BC" w14:textId="77620110" w:rsidR="0005631B" w:rsidRPr="00941F37" w:rsidRDefault="0005631B" w:rsidP="0005631B">
      <w:pPr>
        <w:pStyle w:val="Paragraphedeliste"/>
        <w:numPr>
          <w:ilvl w:val="0"/>
          <w:numId w:val="3"/>
        </w:numPr>
        <w:rPr>
          <w:lang w:val="en-US"/>
        </w:rPr>
      </w:pPr>
      <w:r w:rsidRPr="00941F37">
        <w:rPr>
          <w:lang w:val="en-US"/>
        </w:rPr>
        <w:t xml:space="preserve">To address the possibility </w:t>
      </w:r>
      <w:r w:rsidRPr="00C00BDC">
        <w:rPr>
          <w:lang w:val="en-US"/>
        </w:rPr>
        <w:t xml:space="preserve">that SRS receivers could be impacted by </w:t>
      </w:r>
      <w:r w:rsidR="00197B7D">
        <w:rPr>
          <w:lang w:val="en-US"/>
        </w:rPr>
        <w:t>fixed service (FS)</w:t>
      </w:r>
      <w:r w:rsidRPr="00C00BDC">
        <w:rPr>
          <w:lang w:val="en-US"/>
        </w:rPr>
        <w:t xml:space="preserve"> transmissions, </w:t>
      </w:r>
      <w:r w:rsidR="00640EDB">
        <w:rPr>
          <w:lang w:val="en-US"/>
        </w:rPr>
        <w:t>modifications to</w:t>
      </w:r>
      <w:r w:rsidRPr="00516AAD">
        <w:rPr>
          <w:lang w:val="en-US"/>
        </w:rPr>
        <w:t xml:space="preserve"> the RR </w:t>
      </w:r>
      <w:r w:rsidR="00640EDB">
        <w:rPr>
          <w:lang w:val="en-US"/>
        </w:rPr>
        <w:t xml:space="preserve">are proposed </w:t>
      </w:r>
      <w:r w:rsidRPr="00516AAD">
        <w:rPr>
          <w:lang w:val="en-US"/>
        </w:rPr>
        <w:t>with the condition that SRS shall not claim protection from FS.</w:t>
      </w:r>
    </w:p>
    <w:p w14:paraId="16E1D9B6" w14:textId="21C386B6" w:rsidR="0005631B" w:rsidRPr="0005756D" w:rsidRDefault="0005631B" w:rsidP="0005631B">
      <w:pPr>
        <w:pStyle w:val="Paragraphedeliste"/>
        <w:numPr>
          <w:ilvl w:val="0"/>
          <w:numId w:val="3"/>
        </w:numPr>
        <w:rPr>
          <w:lang w:val="en-US"/>
        </w:rPr>
      </w:pPr>
      <w:r w:rsidRPr="0005756D">
        <w:rPr>
          <w:lang w:val="en-US"/>
        </w:rPr>
        <w:t xml:space="preserve">To suppress Resolution </w:t>
      </w:r>
      <w:r w:rsidRPr="0005756D">
        <w:rPr>
          <w:b/>
          <w:bCs/>
          <w:lang w:val="en-US"/>
        </w:rPr>
        <w:t>661 (WRC-19)</w:t>
      </w:r>
      <w:r w:rsidRPr="0005756D">
        <w:rPr>
          <w:lang w:val="en-US"/>
        </w:rPr>
        <w:t xml:space="preserve"> because </w:t>
      </w:r>
      <w:r w:rsidR="00197B7D">
        <w:rPr>
          <w:lang w:val="en-US"/>
        </w:rPr>
        <w:t>it</w:t>
      </w:r>
      <w:r w:rsidRPr="0005756D">
        <w:rPr>
          <w:lang w:val="en-US"/>
        </w:rPr>
        <w:t xml:space="preserve"> is no longer necessary.</w:t>
      </w:r>
    </w:p>
    <w:p w14:paraId="51CA6A4D" w14:textId="459323F0" w:rsidR="0005631B" w:rsidRPr="004C76E9" w:rsidRDefault="0005631B" w:rsidP="0005631B">
      <w:pPr>
        <w:pStyle w:val="Headingb"/>
        <w:rPr>
          <w:lang w:val="en-US"/>
        </w:rPr>
      </w:pPr>
      <w:r w:rsidRPr="004C76E9">
        <w:rPr>
          <w:lang w:val="en-US"/>
        </w:rPr>
        <w:t>Proposals</w:t>
      </w:r>
    </w:p>
    <w:p w14:paraId="2F569D15" w14:textId="77777777" w:rsidR="00187BD9" w:rsidRPr="004C76E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US"/>
        </w:rPr>
      </w:pPr>
      <w:r w:rsidRPr="004C76E9">
        <w:rPr>
          <w:lang w:val="en-US"/>
        </w:rPr>
        <w:br w:type="page"/>
      </w:r>
    </w:p>
    <w:p w14:paraId="28D50878" w14:textId="77777777" w:rsidR="006A3A01" w:rsidRPr="003C04F1" w:rsidRDefault="00B120BA" w:rsidP="007F1392">
      <w:pPr>
        <w:pStyle w:val="ArtNo"/>
        <w:spacing w:before="0"/>
      </w:pPr>
      <w:bookmarkStart w:id="6" w:name="_Toc42842383"/>
      <w:r w:rsidRPr="003C04F1">
        <w:lastRenderedPageBreak/>
        <w:t xml:space="preserve">ARTICLE </w:t>
      </w:r>
      <w:r w:rsidRPr="003C04F1">
        <w:rPr>
          <w:rStyle w:val="href"/>
          <w:rFonts w:eastAsiaTheme="majorEastAsia"/>
          <w:color w:val="000000"/>
        </w:rPr>
        <w:t>5</w:t>
      </w:r>
      <w:bookmarkEnd w:id="6"/>
    </w:p>
    <w:p w14:paraId="0FB2B545" w14:textId="77777777" w:rsidR="006A3A01" w:rsidRPr="003C04F1" w:rsidRDefault="00B120BA" w:rsidP="007F1392">
      <w:pPr>
        <w:pStyle w:val="Arttitle"/>
      </w:pPr>
      <w:bookmarkStart w:id="7" w:name="_Toc327956583"/>
      <w:bookmarkStart w:id="8" w:name="_Toc42842384"/>
      <w:r w:rsidRPr="003C04F1">
        <w:t>Frequency allocations</w:t>
      </w:r>
      <w:bookmarkEnd w:id="7"/>
      <w:bookmarkEnd w:id="8"/>
    </w:p>
    <w:p w14:paraId="55E0CB17" w14:textId="77777777" w:rsidR="006A3A01" w:rsidRPr="003C04F1" w:rsidRDefault="00B120BA" w:rsidP="007F1392">
      <w:pPr>
        <w:pStyle w:val="Section1"/>
        <w:keepNext/>
      </w:pPr>
      <w:r w:rsidRPr="003C04F1">
        <w:t>Section IV – Table of Frequency Allocations</w:t>
      </w:r>
      <w:r w:rsidRPr="003C04F1">
        <w:br/>
      </w:r>
      <w:r w:rsidRPr="003C04F1">
        <w:rPr>
          <w:b w:val="0"/>
          <w:bCs/>
        </w:rPr>
        <w:t xml:space="preserve">(See No. </w:t>
      </w:r>
      <w:r w:rsidRPr="003C04F1">
        <w:t>2.1</w:t>
      </w:r>
      <w:r w:rsidRPr="003C04F1">
        <w:rPr>
          <w:b w:val="0"/>
          <w:bCs/>
        </w:rPr>
        <w:t>)</w:t>
      </w:r>
      <w:r w:rsidRPr="003C04F1">
        <w:rPr>
          <w:b w:val="0"/>
          <w:bCs/>
        </w:rPr>
        <w:br/>
      </w:r>
      <w:r w:rsidRPr="003C04F1">
        <w:br/>
      </w:r>
    </w:p>
    <w:p w14:paraId="2BDC25F2" w14:textId="6A9F9CC7" w:rsidR="00A763D3" w:rsidRDefault="00B120BA">
      <w:pPr>
        <w:pStyle w:val="Proposal"/>
      </w:pPr>
      <w:r>
        <w:t>MOD</w:t>
      </w:r>
      <w:r>
        <w:tab/>
        <w:t>EUR/</w:t>
      </w:r>
      <w:r w:rsidR="00197B7D">
        <w:t>XXXX</w:t>
      </w:r>
      <w:r>
        <w:t>A13/1</w:t>
      </w:r>
    </w:p>
    <w:p w14:paraId="37A880AB" w14:textId="77777777" w:rsidR="006A3A01" w:rsidRPr="003C04F1" w:rsidRDefault="00B120BA" w:rsidP="007F1392">
      <w:pPr>
        <w:pStyle w:val="Tabletitle"/>
      </w:pPr>
      <w:r w:rsidRPr="003C04F1">
        <w:t>14.5-15.4 GHz</w:t>
      </w:r>
    </w:p>
    <w:tbl>
      <w:tblPr>
        <w:tblW w:w="9299" w:type="dxa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82"/>
        <w:gridCol w:w="3082"/>
        <w:gridCol w:w="3135"/>
      </w:tblGrid>
      <w:tr w:rsidR="007F1392" w:rsidRPr="003C04F1" w14:paraId="45DA5BF7" w14:textId="77777777" w:rsidTr="007F1392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CEC19" w14:textId="77777777" w:rsidR="006A3A01" w:rsidRPr="003C04F1" w:rsidRDefault="00B120BA" w:rsidP="007F1392">
            <w:pPr>
              <w:pStyle w:val="Tablehead"/>
            </w:pPr>
            <w:r w:rsidRPr="003C04F1">
              <w:t>Allocation to services</w:t>
            </w:r>
          </w:p>
        </w:tc>
      </w:tr>
      <w:tr w:rsidR="007F1392" w:rsidRPr="003C04F1" w14:paraId="224DAC0F" w14:textId="77777777" w:rsidTr="007F1392">
        <w:trPr>
          <w:cantSplit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6E73F" w14:textId="77777777" w:rsidR="006A3A01" w:rsidRPr="003C04F1" w:rsidRDefault="00B120BA" w:rsidP="007F1392">
            <w:pPr>
              <w:pStyle w:val="Tablehead"/>
            </w:pPr>
            <w:r w:rsidRPr="003C04F1">
              <w:t>Region 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257E4" w14:textId="77777777" w:rsidR="006A3A01" w:rsidRPr="003C04F1" w:rsidRDefault="00B120BA" w:rsidP="007F1392">
            <w:pPr>
              <w:pStyle w:val="Tablehead"/>
            </w:pPr>
            <w:r w:rsidRPr="003C04F1">
              <w:t>Region 2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B746" w14:textId="77777777" w:rsidR="006A3A01" w:rsidRPr="003C04F1" w:rsidRDefault="00B120BA" w:rsidP="007F1392">
            <w:pPr>
              <w:pStyle w:val="Tablehead"/>
            </w:pPr>
            <w:r w:rsidRPr="003C04F1">
              <w:t>Region 3</w:t>
            </w:r>
          </w:p>
        </w:tc>
      </w:tr>
      <w:tr w:rsidR="007F1392" w:rsidRPr="003C04F1" w14:paraId="13A26B31" w14:textId="77777777" w:rsidTr="007F1392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00A8" w14:textId="77777777" w:rsidR="006A3A01" w:rsidRPr="003C04F1" w:rsidRDefault="00B120BA" w:rsidP="009E4212">
            <w:pPr>
              <w:pStyle w:val="TableTextS5"/>
              <w:spacing w:before="30" w:after="30" w:line="210" w:lineRule="exact"/>
              <w:rPr>
                <w:color w:val="000000"/>
              </w:rPr>
            </w:pPr>
            <w:r w:rsidRPr="003C04F1">
              <w:rPr>
                <w:rStyle w:val="Tablefreq"/>
              </w:rPr>
              <w:t>14.8-15.35</w:t>
            </w:r>
            <w:r w:rsidRPr="003C04F1">
              <w:rPr>
                <w:color w:val="000000"/>
              </w:rPr>
              <w:tab/>
              <w:t>FIXED</w:t>
            </w:r>
          </w:p>
          <w:p w14:paraId="741AE560" w14:textId="77777777" w:rsidR="006A3A01" w:rsidRPr="003C04F1" w:rsidRDefault="00B120BA" w:rsidP="009E4212">
            <w:pPr>
              <w:pStyle w:val="TableTextS5"/>
              <w:spacing w:before="30" w:after="30" w:line="210" w:lineRule="exact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MOBILE</w:t>
            </w:r>
          </w:p>
          <w:p w14:paraId="010971CE" w14:textId="35F4DCE0" w:rsidR="00197B7D" w:rsidRPr="003C04F1" w:rsidRDefault="00197B7D" w:rsidP="00624666">
            <w:pPr>
              <w:pStyle w:val="TableTextS5"/>
              <w:tabs>
                <w:tab w:val="clear" w:pos="170"/>
                <w:tab w:val="left" w:pos="316"/>
              </w:tabs>
              <w:spacing w:before="30" w:after="30"/>
              <w:ind w:left="3009" w:hanging="3009"/>
              <w:rPr>
                <w:ins w:id="9" w:author="CEPT" w:date="2023-05-04T11:35:00Z"/>
                <w:color w:val="000000"/>
              </w:rPr>
            </w:pPr>
            <w:ins w:id="10" w:author="CEPT" w:date="2023-05-04T11:35:00Z">
              <w:r w:rsidRPr="003C04F1">
                <w:rPr>
                  <w:color w:val="000000"/>
                </w:rPr>
                <w:tab/>
              </w:r>
              <w:r w:rsidRPr="003C04F1">
                <w:rPr>
                  <w:color w:val="000000"/>
                </w:rPr>
                <w:tab/>
              </w:r>
              <w:r w:rsidRPr="003C04F1">
                <w:rPr>
                  <w:color w:val="000000"/>
                </w:rPr>
                <w:tab/>
              </w:r>
              <w:r w:rsidRPr="003C04F1">
                <w:rPr>
                  <w:color w:val="000000"/>
                </w:rPr>
                <w:tab/>
              </w:r>
              <w:r>
                <w:rPr>
                  <w:color w:val="000000"/>
                </w:rPr>
                <w:t xml:space="preserve">SPACE </w:t>
              </w:r>
              <w:proofErr w:type="gramStart"/>
              <w:r>
                <w:rPr>
                  <w:color w:val="000000"/>
                </w:rPr>
                <w:t xml:space="preserve">RESEARCH </w:t>
              </w:r>
              <w:r w:rsidR="00C91263">
                <w:rPr>
                  <w:color w:val="000000"/>
                </w:rPr>
                <w:t xml:space="preserve"> </w:t>
              </w:r>
              <w:r w:rsidRPr="0012285D">
                <w:rPr>
                  <w:color w:val="000000"/>
                </w:rPr>
                <w:t>A</w:t>
              </w:r>
              <w:r>
                <w:rPr>
                  <w:color w:val="000000"/>
                </w:rPr>
                <w:t>DD</w:t>
              </w:r>
              <w:proofErr w:type="gramEnd"/>
              <w:r>
                <w:rPr>
                  <w:color w:val="000000"/>
                </w:rPr>
                <w:t xml:space="preserve"> 5.A113  </w:t>
              </w:r>
              <w:r w:rsidR="00C91263" w:rsidRPr="0012285D">
                <w:rPr>
                  <w:color w:val="000000"/>
                </w:rPr>
                <w:t>ADD</w:t>
              </w:r>
            </w:ins>
            <w:ins w:id="11" w:author="Bruno Espinosa" w:date="2023-08-29T17:00:00Z">
              <w:r w:rsidR="0045530D">
                <w:rPr>
                  <w:color w:val="000000"/>
                </w:rPr>
                <w:t xml:space="preserve"> </w:t>
              </w:r>
            </w:ins>
            <w:ins w:id="12" w:author="CEPT" w:date="2023-05-04T11:35:00Z">
              <w:r>
                <w:rPr>
                  <w:color w:val="000000"/>
                </w:rPr>
                <w:t xml:space="preserve">5.B113  ADD 5.C113  </w:t>
              </w:r>
            </w:ins>
            <w:ins w:id="13" w:author="ITU" w:date="2023-08-31T03:42:00Z">
              <w:r w:rsidR="00720860">
                <w:rPr>
                  <w:color w:val="000000"/>
                </w:rPr>
                <w:br/>
              </w:r>
            </w:ins>
            <w:ins w:id="14" w:author="CEPT" w:date="2023-08-31T10:15:00Z">
              <w:r w:rsidR="00FD63DC" w:rsidRPr="003C04F1">
                <w:rPr>
                  <w:color w:val="000000"/>
                </w:rPr>
                <w:tab/>
              </w:r>
            </w:ins>
            <w:ins w:id="15" w:author="CEPT" w:date="2023-05-04T11:35:00Z">
              <w:r>
                <w:rPr>
                  <w:color w:val="000000"/>
                </w:rPr>
                <w:t>ADD</w:t>
              </w:r>
            </w:ins>
            <w:ins w:id="16" w:author="ITU" w:date="2023-08-31T03:41:00Z">
              <w:r w:rsidR="00720860">
                <w:rPr>
                  <w:color w:val="000000"/>
                </w:rPr>
                <w:t> </w:t>
              </w:r>
            </w:ins>
            <w:ins w:id="17" w:author="CEPT" w:date="2023-05-04T11:35:00Z">
              <w:r>
                <w:rPr>
                  <w:color w:val="000000"/>
                </w:rPr>
                <w:t>5.D113  ADD 5.E113  ADD 5.F113</w:t>
              </w:r>
            </w:ins>
          </w:p>
          <w:p w14:paraId="46DE847E" w14:textId="3ADBFA5B" w:rsidR="006A3A01" w:rsidRPr="003C04F1" w:rsidDel="00197B7D" w:rsidRDefault="00B120BA" w:rsidP="009E4212">
            <w:pPr>
              <w:pStyle w:val="TableTextS5"/>
              <w:spacing w:before="30" w:after="30" w:line="210" w:lineRule="exact"/>
              <w:rPr>
                <w:del w:id="18" w:author="CEPT" w:date="2023-05-04T11:35:00Z"/>
                <w:color w:val="000000"/>
              </w:rPr>
            </w:pPr>
            <w:del w:id="19" w:author="CEPT" w:date="2023-05-04T11:35:00Z">
              <w:r w:rsidRPr="003C04F1" w:rsidDel="00197B7D">
                <w:rPr>
                  <w:color w:val="000000"/>
                </w:rPr>
                <w:tab/>
              </w:r>
              <w:r w:rsidRPr="003C04F1" w:rsidDel="00197B7D">
                <w:rPr>
                  <w:color w:val="000000"/>
                </w:rPr>
                <w:tab/>
              </w:r>
              <w:r w:rsidRPr="003C04F1" w:rsidDel="00197B7D">
                <w:rPr>
                  <w:color w:val="000000"/>
                </w:rPr>
                <w:tab/>
              </w:r>
              <w:r w:rsidRPr="003C04F1" w:rsidDel="00197B7D">
                <w:rPr>
                  <w:color w:val="000000"/>
                </w:rPr>
                <w:tab/>
                <w:delText>Space research</w:delText>
              </w:r>
            </w:del>
          </w:p>
          <w:p w14:paraId="618DAFE9" w14:textId="77777777" w:rsidR="006A3A01" w:rsidRPr="003C04F1" w:rsidRDefault="00B120BA" w:rsidP="009E4212">
            <w:pPr>
              <w:pStyle w:val="TableTextS5"/>
              <w:spacing w:before="30" w:after="30" w:line="210" w:lineRule="exact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rStyle w:val="Artref"/>
                <w:color w:val="000000"/>
              </w:rPr>
              <w:t>5.339</w:t>
            </w:r>
          </w:p>
        </w:tc>
      </w:tr>
    </w:tbl>
    <w:p w14:paraId="337FBBFA" w14:textId="78222729" w:rsidR="00A763D3" w:rsidRDefault="00A763D3">
      <w:pPr>
        <w:pStyle w:val="Reasons"/>
      </w:pPr>
    </w:p>
    <w:p w14:paraId="465B455B" w14:textId="4AE99AAB" w:rsidR="00A763D3" w:rsidRDefault="00B120BA">
      <w:pPr>
        <w:pStyle w:val="Proposal"/>
      </w:pPr>
      <w:r>
        <w:t>ADD</w:t>
      </w:r>
      <w:r>
        <w:tab/>
        <w:t>EUR/</w:t>
      </w:r>
      <w:r w:rsidR="008A5211">
        <w:t>XXXX</w:t>
      </w:r>
      <w:r>
        <w:t>A13/2</w:t>
      </w:r>
    </w:p>
    <w:p w14:paraId="36807E3D" w14:textId="16EB3D59" w:rsidR="00A763D3" w:rsidRDefault="00B120BA">
      <w:r>
        <w:rPr>
          <w:rStyle w:val="Artdef"/>
        </w:rPr>
        <w:t>5.A113</w:t>
      </w:r>
      <w:r>
        <w:tab/>
      </w:r>
      <w:r w:rsidR="00197B7D" w:rsidRPr="00447F87">
        <w:t xml:space="preserve">In the </w:t>
      </w:r>
      <w:r w:rsidR="00197B7D">
        <w:t xml:space="preserve">frequency </w:t>
      </w:r>
      <w:r w:rsidR="00197B7D" w:rsidRPr="00447F87">
        <w:t xml:space="preserve">band 14.8-15.35 GHz, the stations </w:t>
      </w:r>
      <w:r w:rsidR="00197B7D">
        <w:t xml:space="preserve">operated </w:t>
      </w:r>
      <w:r w:rsidR="00197B7D" w:rsidRPr="00447F87">
        <w:t>in the space research service shall not claim protection from aircraft stations in the mobile service. No</w:t>
      </w:r>
      <w:r w:rsidR="00197B7D">
        <w:t>s</w:t>
      </w:r>
      <w:r w:rsidR="00197B7D" w:rsidRPr="00447F87">
        <w:t xml:space="preserve">. </w:t>
      </w:r>
      <w:r w:rsidR="00197B7D" w:rsidRPr="002867FB">
        <w:rPr>
          <w:rStyle w:val="Artref"/>
          <w:b/>
          <w:bCs/>
        </w:rPr>
        <w:t>5.43A</w:t>
      </w:r>
      <w:r w:rsidR="00197B7D">
        <w:rPr>
          <w:rStyle w:val="Artref"/>
          <w:b/>
          <w:bCs/>
        </w:rPr>
        <w:t xml:space="preserve"> </w:t>
      </w:r>
      <w:r w:rsidR="00197B7D" w:rsidRPr="00555654">
        <w:rPr>
          <w:rStyle w:val="Artref"/>
        </w:rPr>
        <w:t>and</w:t>
      </w:r>
      <w:r w:rsidR="00197B7D">
        <w:rPr>
          <w:rStyle w:val="Artref"/>
          <w:b/>
          <w:bCs/>
        </w:rPr>
        <w:t xml:space="preserve"> 9.18</w:t>
      </w:r>
      <w:r w:rsidR="00197B7D" w:rsidRPr="00447F87">
        <w:t xml:space="preserve"> do not apply.</w:t>
      </w:r>
      <w:r w:rsidR="00197B7D" w:rsidRPr="003C04F1">
        <w:rPr>
          <w:sz w:val="16"/>
        </w:rPr>
        <w:t>     (WRC</w:t>
      </w:r>
      <w:r w:rsidR="00197B7D" w:rsidRPr="003C04F1">
        <w:rPr>
          <w:sz w:val="16"/>
        </w:rPr>
        <w:noBreakHyphen/>
      </w:r>
      <w:r w:rsidR="00197B7D">
        <w:rPr>
          <w:sz w:val="16"/>
        </w:rPr>
        <w:t>23</w:t>
      </w:r>
      <w:r w:rsidR="00197B7D" w:rsidRPr="003C04F1">
        <w:rPr>
          <w:sz w:val="16"/>
        </w:rPr>
        <w:t>)</w:t>
      </w:r>
    </w:p>
    <w:p w14:paraId="7A77BD41" w14:textId="029B53DF" w:rsidR="00A763D3" w:rsidRDefault="00A763D3">
      <w:pPr>
        <w:pStyle w:val="Reasons"/>
      </w:pPr>
    </w:p>
    <w:p w14:paraId="60D036B6" w14:textId="5B6317DE" w:rsidR="00A763D3" w:rsidRDefault="00B120BA">
      <w:pPr>
        <w:pStyle w:val="Proposal"/>
      </w:pPr>
      <w:r>
        <w:t>ADD</w:t>
      </w:r>
      <w:r>
        <w:tab/>
        <w:t>EUR/</w:t>
      </w:r>
      <w:r w:rsidR="008A5211">
        <w:t>XXXX</w:t>
      </w:r>
      <w:r>
        <w:t>A13/3</w:t>
      </w:r>
    </w:p>
    <w:p w14:paraId="2ECFDD5A" w14:textId="597DAC6E" w:rsidR="00A763D3" w:rsidRDefault="00B120BA">
      <w:r>
        <w:rPr>
          <w:rStyle w:val="Artdef"/>
        </w:rPr>
        <w:t>5.B113</w:t>
      </w:r>
      <w:r>
        <w:tab/>
      </w:r>
      <w:r w:rsidR="00197B7D" w:rsidRPr="00447F87">
        <w:t xml:space="preserve">The power flux-density (pfd) produced by an earth station in the space research service shall not exceed </w:t>
      </w:r>
      <w:r w:rsidR="00197B7D">
        <w:t>−</w:t>
      </w:r>
      <w:r w:rsidR="00197B7D" w:rsidRPr="00447F87">
        <w:t>1</w:t>
      </w:r>
      <w:r w:rsidR="00197B7D">
        <w:t>45.</w:t>
      </w:r>
      <w:r w:rsidR="00197B7D" w:rsidRPr="003D0C46">
        <w:t>6 dB(W/(m</w:t>
      </w:r>
      <w:r w:rsidR="00197B7D" w:rsidRPr="003D0C46">
        <w:rPr>
          <w:vertAlign w:val="superscript"/>
        </w:rPr>
        <w:t>2</w:t>
      </w:r>
      <w:r w:rsidR="00197B7D" w:rsidRPr="003D0C46">
        <w:t xml:space="preserve"> · 1 MHz</w:t>
      </w:r>
      <w:r w:rsidR="00197B7D" w:rsidRPr="004D5D17">
        <w:t>))</w:t>
      </w:r>
      <w:r w:rsidR="00197B7D" w:rsidRPr="003D0C46">
        <w:t xml:space="preserve"> at the border of the territory of a neighbouring </w:t>
      </w:r>
      <w:r w:rsidR="00901589">
        <w:t>administration</w:t>
      </w:r>
      <w:r w:rsidR="00197B7D" w:rsidRPr="003D0C46">
        <w:t xml:space="preserve"> </w:t>
      </w:r>
      <w:r w:rsidR="00197B7D" w:rsidRPr="004D5D17">
        <w:t>to protect</w:t>
      </w:r>
      <w:r w:rsidR="00197B7D" w:rsidRPr="003D0C46">
        <w:t xml:space="preserve"> </w:t>
      </w:r>
      <w:r w:rsidR="00197B7D" w:rsidRPr="00447F87">
        <w:t xml:space="preserve">stations </w:t>
      </w:r>
      <w:r w:rsidR="00197B7D" w:rsidRPr="003D0C46">
        <w:t>operating</w:t>
      </w:r>
      <w:r w:rsidR="00197B7D" w:rsidRPr="00447F87">
        <w:t xml:space="preserve"> in the aeronautical mobile service in the </w:t>
      </w:r>
      <w:r w:rsidR="00197B7D">
        <w:t xml:space="preserve">frequency </w:t>
      </w:r>
      <w:r w:rsidR="00197B7D" w:rsidRPr="00447F87">
        <w:t xml:space="preserve">band 14.8-15.35 GHz. No. </w:t>
      </w:r>
      <w:r w:rsidR="00197B7D" w:rsidRPr="002867FB">
        <w:rPr>
          <w:rStyle w:val="Artref"/>
          <w:b/>
          <w:bCs/>
        </w:rPr>
        <w:t>9.17</w:t>
      </w:r>
      <w:r w:rsidR="00197B7D" w:rsidRPr="00447F87">
        <w:t xml:space="preserve"> does not apply.</w:t>
      </w:r>
      <w:r w:rsidR="00197B7D" w:rsidRPr="003C04F1">
        <w:rPr>
          <w:sz w:val="16"/>
        </w:rPr>
        <w:t>     (WRC</w:t>
      </w:r>
      <w:r w:rsidR="00197B7D" w:rsidRPr="003C04F1">
        <w:rPr>
          <w:sz w:val="16"/>
        </w:rPr>
        <w:noBreakHyphen/>
      </w:r>
      <w:r w:rsidR="00197B7D">
        <w:rPr>
          <w:sz w:val="16"/>
        </w:rPr>
        <w:t>23</w:t>
      </w:r>
      <w:r w:rsidR="00197B7D" w:rsidRPr="003C04F1">
        <w:rPr>
          <w:sz w:val="16"/>
        </w:rPr>
        <w:t>)</w:t>
      </w:r>
    </w:p>
    <w:p w14:paraId="776B9B7C" w14:textId="7F812F5E" w:rsidR="00A763D3" w:rsidRDefault="00A763D3">
      <w:pPr>
        <w:pStyle w:val="Reasons"/>
      </w:pPr>
    </w:p>
    <w:p w14:paraId="7638E36C" w14:textId="660277BC" w:rsidR="00A763D3" w:rsidRDefault="00B120BA">
      <w:pPr>
        <w:pStyle w:val="Proposal"/>
      </w:pPr>
      <w:r>
        <w:t>ADD</w:t>
      </w:r>
      <w:r>
        <w:tab/>
        <w:t>EUR/</w:t>
      </w:r>
      <w:r w:rsidR="008A5211">
        <w:t>XXXX</w:t>
      </w:r>
      <w:r>
        <w:t>A13/4</w:t>
      </w:r>
    </w:p>
    <w:p w14:paraId="7F799E57" w14:textId="760508D3" w:rsidR="00A763D3" w:rsidRDefault="00B120BA">
      <w:r>
        <w:rPr>
          <w:rStyle w:val="Artdef"/>
        </w:rPr>
        <w:t>5.C113</w:t>
      </w:r>
      <w:r>
        <w:tab/>
        <w:t>Harmful interference shall not be caused to stations of the radio astronomy service using the frequency band 15.</w:t>
      </w:r>
      <w:r w:rsidRPr="00C00BDC">
        <w:t xml:space="preserve">35-15.40 GHz by stations of the space research service (No. </w:t>
      </w:r>
      <w:r w:rsidRPr="00C00BDC">
        <w:rPr>
          <w:b/>
          <w:bCs/>
        </w:rPr>
        <w:t>29.13</w:t>
      </w:r>
      <w:r w:rsidRPr="00516AAD">
        <w:t xml:space="preserve"> applies). The equivalent power flux-density (</w:t>
      </w:r>
      <w:proofErr w:type="spellStart"/>
      <w:r w:rsidRPr="00516AAD">
        <w:t>epfd</w:t>
      </w:r>
      <w:proofErr w:type="spellEnd"/>
      <w:r w:rsidRPr="00516AAD">
        <w:t>) produced in the frequency band 15.35-15.40 GHz by all space stations of a non-GSO satellite system in the space research service (space-to-Earth) (space-to-space) operating in the frequency band 14.8-15.35 GHz shall be in compliance with the protection criteria provided in Recommendations ITU-R RA.769-2 and ITU-R RA.1513-2, using the methodology given in Recommendation ITU-R M.1583-1, and the radio astronomy antenna pattern described in Recommendation ITU-R RA.1631-0.</w:t>
      </w:r>
    </w:p>
    <w:p w14:paraId="0890D525" w14:textId="77777777" w:rsidR="00B120BA" w:rsidRDefault="00B120BA" w:rsidP="00B120BA">
      <w:r w:rsidRPr="00516AAD">
        <w:t xml:space="preserve">The power flux-density (pfd) produced in the frequency band 15.35-15.40 GHz by a space station of a GSO satellite network in the space research </w:t>
      </w:r>
      <w:r w:rsidRPr="00C471DA">
        <w:t>service (space-to-Earth) (space-to-space) operating</w:t>
      </w:r>
      <w:r w:rsidRPr="00516AAD">
        <w:t xml:space="preserve"> in the frequency band 14.8-15.35 GHz shall be in compliance with the protection criteria provided in Recommendation ITU-R RA</w:t>
      </w:r>
      <w:r w:rsidRPr="000E06B8">
        <w:t>.769-2.</w:t>
      </w:r>
      <w:r w:rsidRPr="000E06B8">
        <w:rPr>
          <w:sz w:val="14"/>
          <w:szCs w:val="12"/>
        </w:rPr>
        <w:t>    </w:t>
      </w:r>
      <w:r w:rsidRPr="003C04F1">
        <w:rPr>
          <w:sz w:val="16"/>
        </w:rPr>
        <w:t xml:space="preserve"> (WRC</w:t>
      </w:r>
      <w:r w:rsidRPr="003C04F1">
        <w:rPr>
          <w:sz w:val="16"/>
        </w:rPr>
        <w:noBreakHyphen/>
      </w:r>
      <w:r>
        <w:rPr>
          <w:sz w:val="16"/>
        </w:rPr>
        <w:t>23</w:t>
      </w:r>
      <w:r w:rsidRPr="003C04F1">
        <w:rPr>
          <w:sz w:val="16"/>
        </w:rPr>
        <w:t>)</w:t>
      </w:r>
    </w:p>
    <w:p w14:paraId="77BC7666" w14:textId="2F441B11" w:rsidR="00A763D3" w:rsidRDefault="00A763D3">
      <w:pPr>
        <w:pStyle w:val="Reasons"/>
      </w:pPr>
    </w:p>
    <w:p w14:paraId="14171E91" w14:textId="6B66CA4D" w:rsidR="00A763D3" w:rsidRDefault="00B120BA">
      <w:pPr>
        <w:pStyle w:val="Proposal"/>
      </w:pPr>
      <w:r>
        <w:t>ADD</w:t>
      </w:r>
      <w:r>
        <w:tab/>
        <w:t>EUR/</w:t>
      </w:r>
      <w:r w:rsidR="008A5211">
        <w:t>XXXX</w:t>
      </w:r>
      <w:r>
        <w:t>A13/5</w:t>
      </w:r>
    </w:p>
    <w:p w14:paraId="55FC6FB9" w14:textId="7CB8620D" w:rsidR="00A763D3" w:rsidRDefault="00B120BA">
      <w:r>
        <w:rPr>
          <w:rStyle w:val="Artdef"/>
        </w:rPr>
        <w:t>5.D113</w:t>
      </w:r>
      <w:r>
        <w:tab/>
      </w:r>
      <w:r w:rsidRPr="004D5D17">
        <w:rPr>
          <w:rStyle w:val="NoteChar"/>
        </w:rPr>
        <w:t xml:space="preserve">In order to protect the radio astronomy service </w:t>
      </w:r>
      <w:r w:rsidRPr="003D0C46">
        <w:t xml:space="preserve">in the frequency band 15.35-15.4 GHz </w:t>
      </w:r>
      <w:r w:rsidRPr="004D5D17">
        <w:t xml:space="preserve">a space research </w:t>
      </w:r>
      <w:r w:rsidRPr="003D0C46">
        <w:t>station</w:t>
      </w:r>
      <w:r w:rsidRPr="004D5D17">
        <w:t xml:space="preserve"> operating</w:t>
      </w:r>
      <w:r w:rsidRPr="003D0C46">
        <w:t xml:space="preserve"> in the Earth-to-space direction in the frequency band 14.8-15.35 GHz shall not exceed </w:t>
      </w:r>
      <w:r w:rsidRPr="00EB02EF">
        <w:t xml:space="preserve">the </w:t>
      </w:r>
      <w:r w:rsidRPr="004D5D17">
        <w:rPr>
          <w:rStyle w:val="NoteChar"/>
        </w:rPr>
        <w:t>power flux</w:t>
      </w:r>
      <w:r>
        <w:rPr>
          <w:rStyle w:val="NoteChar"/>
        </w:rPr>
        <w:t xml:space="preserve"> </w:t>
      </w:r>
      <w:r w:rsidRPr="004D5D17">
        <w:rPr>
          <w:rStyle w:val="NoteChar"/>
        </w:rPr>
        <w:t>density level of −156 dB(W/m</w:t>
      </w:r>
      <w:r w:rsidRPr="004D5D17">
        <w:rPr>
          <w:rStyle w:val="NoteChar"/>
          <w:vertAlign w:val="superscript"/>
        </w:rPr>
        <w:t>2</w:t>
      </w:r>
      <w:r w:rsidRPr="004D5D17">
        <w:rPr>
          <w:rStyle w:val="NoteChar"/>
        </w:rPr>
        <w:t>) in a 50 MHz bandwidth in the frequency band 15.35-15.4 GHz, at any radio astronomy station observing in the frequency band 15.35-15.4 GHz for more than 2 per cent of the time.</w:t>
      </w:r>
      <w:r w:rsidRPr="003D0C46">
        <w:rPr>
          <w:sz w:val="16"/>
        </w:rPr>
        <w:t>     (WRC</w:t>
      </w:r>
      <w:r w:rsidRPr="003D0C46">
        <w:rPr>
          <w:sz w:val="16"/>
        </w:rPr>
        <w:noBreakHyphen/>
        <w:t>23)</w:t>
      </w:r>
    </w:p>
    <w:p w14:paraId="5056FE3F" w14:textId="753D1E26" w:rsidR="00A763D3" w:rsidRDefault="00A763D3">
      <w:pPr>
        <w:pStyle w:val="Reasons"/>
      </w:pPr>
    </w:p>
    <w:p w14:paraId="3464A243" w14:textId="7FF7DE11" w:rsidR="00A763D3" w:rsidRDefault="00B120BA">
      <w:pPr>
        <w:pStyle w:val="Proposal"/>
      </w:pPr>
      <w:r>
        <w:t>ADD</w:t>
      </w:r>
      <w:r>
        <w:tab/>
        <w:t>EUR/</w:t>
      </w:r>
      <w:r w:rsidR="008A5211">
        <w:t>XXXX</w:t>
      </w:r>
      <w:r>
        <w:t>A13/6</w:t>
      </w:r>
    </w:p>
    <w:p w14:paraId="13B1A2FC" w14:textId="18B09CDF" w:rsidR="00A763D3" w:rsidRDefault="00B120BA">
      <w:r>
        <w:rPr>
          <w:rStyle w:val="Artdef"/>
        </w:rPr>
        <w:t>5.E113</w:t>
      </w:r>
      <w:r>
        <w:tab/>
      </w:r>
      <w:r w:rsidRPr="000E06B8">
        <w:t>The allocation of the frequency band 14.8-15.35 GHz to the space research service on a primary basis is limited to satellite systems operating in the space-to-space, space-to-Earth and Earth-to-space directions at distances from the Earth less than 2 × 10</w:t>
      </w:r>
      <w:r w:rsidRPr="005C4BDD">
        <w:rPr>
          <w:vertAlign w:val="superscript"/>
        </w:rPr>
        <w:t>6</w:t>
      </w:r>
      <w:r w:rsidRPr="000E06B8">
        <w:t xml:space="preserve"> km. Other uses of the frequency band by the space research service are on a secondary basis.</w:t>
      </w:r>
      <w:r w:rsidRPr="000E06B8">
        <w:rPr>
          <w:sz w:val="16"/>
          <w:szCs w:val="16"/>
        </w:rPr>
        <w:t>     (WRC</w:t>
      </w:r>
      <w:r w:rsidRPr="000E06B8">
        <w:rPr>
          <w:sz w:val="16"/>
          <w:szCs w:val="16"/>
        </w:rPr>
        <w:noBreakHyphen/>
        <w:t>23)</w:t>
      </w:r>
    </w:p>
    <w:p w14:paraId="20C64B55" w14:textId="72E589BB" w:rsidR="00A763D3" w:rsidRDefault="00A763D3">
      <w:pPr>
        <w:pStyle w:val="Reasons"/>
      </w:pPr>
    </w:p>
    <w:p w14:paraId="7244AEAD" w14:textId="5685C228" w:rsidR="00A763D3" w:rsidRDefault="00B120BA">
      <w:pPr>
        <w:pStyle w:val="Proposal"/>
      </w:pPr>
      <w:r>
        <w:t>ADD</w:t>
      </w:r>
      <w:r>
        <w:tab/>
        <w:t>EUR/</w:t>
      </w:r>
      <w:r w:rsidR="008A5211">
        <w:t>XXXX</w:t>
      </w:r>
      <w:r>
        <w:t>A13/7</w:t>
      </w:r>
    </w:p>
    <w:p w14:paraId="4FEE28E5" w14:textId="647884D6" w:rsidR="00A763D3" w:rsidRDefault="00B120BA">
      <w:r>
        <w:rPr>
          <w:rStyle w:val="Artdef"/>
        </w:rPr>
        <w:t>5.F113</w:t>
      </w:r>
      <w:r>
        <w:tab/>
      </w:r>
      <w:r w:rsidRPr="00EB02EF">
        <w:t>In the frequency band 14.8-15.35 GHz, stations in the space research service shall not claim protection from stations in the fixed service. No</w:t>
      </w:r>
      <w:r>
        <w:t>s</w:t>
      </w:r>
      <w:r w:rsidRPr="00EB02EF">
        <w:t>. </w:t>
      </w:r>
      <w:r w:rsidRPr="00EB02EF">
        <w:rPr>
          <w:rStyle w:val="Artref"/>
          <w:b/>
          <w:bCs/>
        </w:rPr>
        <w:t>5.43A</w:t>
      </w:r>
      <w:r w:rsidRPr="00EB02EF">
        <w:t xml:space="preserve"> and </w:t>
      </w:r>
      <w:r w:rsidRPr="00EB02EF">
        <w:rPr>
          <w:b/>
          <w:bCs/>
        </w:rPr>
        <w:t>9.18</w:t>
      </w:r>
      <w:r w:rsidRPr="00EB02EF">
        <w:t xml:space="preserve"> </w:t>
      </w:r>
      <w:r w:rsidRPr="0012285D">
        <w:t>do</w:t>
      </w:r>
      <w:r w:rsidRPr="00EB02EF">
        <w:t xml:space="preserve"> not apply.</w:t>
      </w:r>
      <w:r w:rsidRPr="00EB02EF">
        <w:rPr>
          <w:sz w:val="16"/>
          <w:szCs w:val="16"/>
        </w:rPr>
        <w:t>     (WRC-23)</w:t>
      </w:r>
    </w:p>
    <w:p w14:paraId="7EA3B161" w14:textId="7CD10934" w:rsidR="00A763D3" w:rsidRDefault="00A763D3">
      <w:pPr>
        <w:pStyle w:val="Reasons"/>
      </w:pPr>
    </w:p>
    <w:p w14:paraId="68D8CE6C" w14:textId="77777777" w:rsidR="006A3A01" w:rsidRPr="003C04F1" w:rsidRDefault="00B120BA" w:rsidP="007F1392">
      <w:pPr>
        <w:pStyle w:val="ArtNo"/>
        <w:spacing w:before="0"/>
      </w:pPr>
      <w:bookmarkStart w:id="20" w:name="_Toc42842422"/>
      <w:r w:rsidRPr="003C04F1">
        <w:t xml:space="preserve">ARTICLE </w:t>
      </w:r>
      <w:r w:rsidRPr="003C04F1">
        <w:rPr>
          <w:rStyle w:val="href"/>
        </w:rPr>
        <w:t>21</w:t>
      </w:r>
      <w:bookmarkEnd w:id="20"/>
    </w:p>
    <w:p w14:paraId="6073EC8F" w14:textId="77777777" w:rsidR="006A3A01" w:rsidRPr="003C04F1" w:rsidRDefault="00B120BA" w:rsidP="007F1392">
      <w:pPr>
        <w:pStyle w:val="Arttitle"/>
      </w:pPr>
      <w:bookmarkStart w:id="21" w:name="_Toc327956622"/>
      <w:bookmarkStart w:id="22" w:name="_Toc42842423"/>
      <w:r w:rsidRPr="003C04F1">
        <w:t>Terrestrial and space services sharing frequency bands above 1 GHz</w:t>
      </w:r>
      <w:bookmarkEnd w:id="21"/>
      <w:bookmarkEnd w:id="22"/>
    </w:p>
    <w:p w14:paraId="5A47164B" w14:textId="77777777" w:rsidR="006A3A01" w:rsidRPr="003C04F1" w:rsidRDefault="00B120BA" w:rsidP="007F1392">
      <w:pPr>
        <w:pStyle w:val="Section1"/>
        <w:keepNext/>
      </w:pPr>
      <w:r w:rsidRPr="003C04F1">
        <w:t>Section V − Limits of power flux-density from space stations</w:t>
      </w:r>
    </w:p>
    <w:p w14:paraId="742F2E1C" w14:textId="2D4255A8" w:rsidR="00A763D3" w:rsidRPr="00E104D7" w:rsidRDefault="00B120BA">
      <w:pPr>
        <w:pStyle w:val="Proposal"/>
        <w:rPr>
          <w:lang w:val="fr-CH"/>
        </w:rPr>
      </w:pPr>
      <w:r w:rsidRPr="00E104D7">
        <w:rPr>
          <w:lang w:val="fr-CH"/>
        </w:rPr>
        <w:t>MOD</w:t>
      </w:r>
      <w:r w:rsidRPr="00E104D7">
        <w:rPr>
          <w:lang w:val="fr-CH"/>
        </w:rPr>
        <w:tab/>
        <w:t>EUR/</w:t>
      </w:r>
      <w:r w:rsidR="008A5211" w:rsidRPr="00E104D7">
        <w:rPr>
          <w:lang w:val="fr-CH"/>
        </w:rPr>
        <w:t>XXXX</w:t>
      </w:r>
      <w:r w:rsidRPr="00E104D7">
        <w:rPr>
          <w:lang w:val="fr-CH"/>
        </w:rPr>
        <w:t>A13/8</w:t>
      </w:r>
    </w:p>
    <w:p w14:paraId="5108D378" w14:textId="331A09E0" w:rsidR="006A3A01" w:rsidRPr="00E104D7" w:rsidRDefault="00B120BA" w:rsidP="007F1392">
      <w:pPr>
        <w:pStyle w:val="TableNo"/>
        <w:rPr>
          <w:lang w:val="fr-CH"/>
        </w:rPr>
      </w:pPr>
      <w:r w:rsidRPr="00E104D7">
        <w:rPr>
          <w:lang w:val="fr-CH"/>
        </w:rPr>
        <w:t xml:space="preserve">TABLE  </w:t>
      </w:r>
      <w:r w:rsidRPr="00E104D7">
        <w:rPr>
          <w:b/>
          <w:bCs/>
          <w:lang w:val="fr-CH"/>
        </w:rPr>
        <w:t>21-4</w:t>
      </w:r>
      <w:r w:rsidRPr="00E104D7">
        <w:rPr>
          <w:sz w:val="16"/>
          <w:szCs w:val="16"/>
          <w:lang w:val="fr-CH"/>
        </w:rPr>
        <w:t>  </w:t>
      </w:r>
      <w:proofErr w:type="gramStart"/>
      <w:r w:rsidRPr="00E104D7">
        <w:rPr>
          <w:sz w:val="16"/>
          <w:szCs w:val="16"/>
          <w:lang w:val="fr-CH"/>
        </w:rPr>
        <w:t>   (</w:t>
      </w:r>
      <w:proofErr w:type="gramEnd"/>
      <w:r w:rsidRPr="00E104D7">
        <w:rPr>
          <w:caps w:val="0"/>
          <w:sz w:val="16"/>
          <w:szCs w:val="16"/>
          <w:lang w:val="fr-CH"/>
        </w:rPr>
        <w:t>Rev</w:t>
      </w:r>
      <w:r w:rsidRPr="00E104D7">
        <w:rPr>
          <w:sz w:val="16"/>
          <w:szCs w:val="16"/>
          <w:lang w:val="fr-CH"/>
        </w:rPr>
        <w:t>.WRC</w:t>
      </w:r>
      <w:r w:rsidRPr="00E104D7">
        <w:rPr>
          <w:sz w:val="16"/>
          <w:szCs w:val="16"/>
          <w:lang w:val="fr-CH"/>
        </w:rPr>
        <w:noBreakHyphen/>
      </w:r>
      <w:del w:id="23" w:author="CEPT" w:date="2023-05-04T11:53:00Z">
        <w:r w:rsidRPr="00E104D7" w:rsidDel="00C471DA">
          <w:rPr>
            <w:sz w:val="16"/>
            <w:szCs w:val="16"/>
            <w:lang w:val="fr-CH"/>
          </w:rPr>
          <w:delText>19</w:delText>
        </w:r>
      </w:del>
      <w:ins w:id="24" w:author="CEPT" w:date="2023-05-04T11:53:00Z">
        <w:r w:rsidR="00C471DA" w:rsidRPr="00E104D7">
          <w:rPr>
            <w:sz w:val="16"/>
            <w:szCs w:val="16"/>
            <w:lang w:val="fr-CH"/>
          </w:rPr>
          <w:t>23</w:t>
        </w:r>
      </w:ins>
      <w:r w:rsidRPr="00E104D7">
        <w:rPr>
          <w:sz w:val="16"/>
          <w:szCs w:val="16"/>
          <w:lang w:val="fr-CH"/>
        </w:rPr>
        <w:t>)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1"/>
        <w:gridCol w:w="1816"/>
        <w:gridCol w:w="8"/>
        <w:gridCol w:w="1176"/>
        <w:gridCol w:w="2420"/>
        <w:gridCol w:w="1218"/>
        <w:gridCol w:w="1000"/>
      </w:tblGrid>
      <w:tr w:rsidR="007F1392" w:rsidRPr="003C04F1" w14:paraId="570EAAFB" w14:textId="77777777" w:rsidTr="00042154">
        <w:trPr>
          <w:cantSplit/>
          <w:trHeight w:val="20"/>
          <w:jc w:val="center"/>
        </w:trPr>
        <w:tc>
          <w:tcPr>
            <w:tcW w:w="2001" w:type="dxa"/>
            <w:vMerge w:val="restart"/>
            <w:noWrap/>
            <w:vAlign w:val="center"/>
          </w:tcPr>
          <w:p w14:paraId="5AA580A1" w14:textId="77777777" w:rsidR="006A3A01" w:rsidRPr="003C04F1" w:rsidRDefault="00B120BA" w:rsidP="007F1392">
            <w:pPr>
              <w:pStyle w:val="Tablehead"/>
            </w:pPr>
            <w:r w:rsidRPr="003C04F1">
              <w:t>Frequency band</w:t>
            </w:r>
          </w:p>
        </w:tc>
        <w:tc>
          <w:tcPr>
            <w:tcW w:w="1816" w:type="dxa"/>
            <w:vMerge w:val="restart"/>
            <w:noWrap/>
            <w:vAlign w:val="center"/>
          </w:tcPr>
          <w:p w14:paraId="1A4478C2" w14:textId="77777777" w:rsidR="006A3A01" w:rsidRPr="003C04F1" w:rsidRDefault="00B120BA" w:rsidP="007F1392">
            <w:pPr>
              <w:pStyle w:val="Tablehead"/>
            </w:pPr>
            <w:r w:rsidRPr="003C04F1">
              <w:t>Service</w:t>
            </w:r>
            <w:r w:rsidRPr="003C04F1">
              <w:rPr>
                <w:rStyle w:val="Appelnotedebasdep"/>
                <w:rFonts w:cs="Times New Roman"/>
                <w:b w:val="0"/>
                <w:bCs/>
              </w:rPr>
              <w:t>*</w:t>
            </w:r>
          </w:p>
        </w:tc>
        <w:tc>
          <w:tcPr>
            <w:tcW w:w="4822" w:type="dxa"/>
            <w:gridSpan w:val="4"/>
            <w:noWrap/>
            <w:vAlign w:val="center"/>
          </w:tcPr>
          <w:p w14:paraId="4FD95CE7" w14:textId="77777777" w:rsidR="006A3A01" w:rsidRPr="003C04F1" w:rsidRDefault="00B120BA" w:rsidP="007F1392">
            <w:pPr>
              <w:pStyle w:val="Tablehead"/>
            </w:pPr>
            <w:r w:rsidRPr="003C04F1">
              <w:t>Limit in dB(W/m</w:t>
            </w:r>
            <w:r w:rsidRPr="003C04F1">
              <w:rPr>
                <w:vertAlign w:val="superscript"/>
              </w:rPr>
              <w:t>2</w:t>
            </w:r>
            <w:r w:rsidRPr="003C04F1">
              <w:t>) for angles</w:t>
            </w:r>
            <w:r w:rsidRPr="003C04F1">
              <w:br/>
              <w:t>of arrival (δ) above the horizontal plane</w:t>
            </w:r>
          </w:p>
        </w:tc>
        <w:tc>
          <w:tcPr>
            <w:tcW w:w="1000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14:paraId="60CDED1F" w14:textId="77777777" w:rsidR="006A3A01" w:rsidRPr="003C04F1" w:rsidRDefault="00B120BA" w:rsidP="007F1392">
            <w:pPr>
              <w:pStyle w:val="Tablehead"/>
            </w:pPr>
            <w:r w:rsidRPr="003C04F1">
              <w:t>Reference bandwidth</w:t>
            </w:r>
          </w:p>
        </w:tc>
      </w:tr>
      <w:tr w:rsidR="007F1392" w:rsidRPr="003C04F1" w14:paraId="01962F96" w14:textId="77777777" w:rsidTr="00042154">
        <w:trPr>
          <w:cantSplit/>
          <w:trHeight w:val="20"/>
          <w:jc w:val="center"/>
        </w:trPr>
        <w:tc>
          <w:tcPr>
            <w:tcW w:w="2001" w:type="dxa"/>
            <w:vMerge/>
            <w:noWrap/>
            <w:vAlign w:val="center"/>
          </w:tcPr>
          <w:p w14:paraId="68C24E86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b/>
                <w:sz w:val="20"/>
              </w:rPr>
            </w:pPr>
          </w:p>
        </w:tc>
        <w:tc>
          <w:tcPr>
            <w:tcW w:w="1816" w:type="dxa"/>
            <w:vMerge/>
            <w:noWrap/>
            <w:vAlign w:val="center"/>
          </w:tcPr>
          <w:p w14:paraId="014B67BD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b/>
                <w:sz w:val="20"/>
              </w:rPr>
            </w:pPr>
          </w:p>
        </w:tc>
        <w:tc>
          <w:tcPr>
            <w:tcW w:w="1184" w:type="dxa"/>
            <w:gridSpan w:val="2"/>
            <w:noWrap/>
            <w:vAlign w:val="center"/>
          </w:tcPr>
          <w:p w14:paraId="44D77735" w14:textId="77777777" w:rsidR="006A3A01" w:rsidRPr="003C04F1" w:rsidRDefault="00B120BA" w:rsidP="007F1392">
            <w:pPr>
              <w:pStyle w:val="Tablehead"/>
            </w:pPr>
            <w:r w:rsidRPr="003C04F1">
              <w:t>0°-5°</w:t>
            </w:r>
          </w:p>
        </w:tc>
        <w:tc>
          <w:tcPr>
            <w:tcW w:w="2420" w:type="dxa"/>
            <w:noWrap/>
            <w:vAlign w:val="center"/>
          </w:tcPr>
          <w:p w14:paraId="1904F2EA" w14:textId="77777777" w:rsidR="006A3A01" w:rsidRPr="003C04F1" w:rsidRDefault="00B120BA" w:rsidP="007F1392">
            <w:pPr>
              <w:pStyle w:val="Tablehead"/>
            </w:pPr>
            <w:r w:rsidRPr="003C04F1">
              <w:t>5°-25°</w:t>
            </w:r>
          </w:p>
        </w:tc>
        <w:tc>
          <w:tcPr>
            <w:tcW w:w="1218" w:type="dxa"/>
            <w:noWrap/>
            <w:vAlign w:val="center"/>
          </w:tcPr>
          <w:p w14:paraId="6DE7C4F6" w14:textId="77777777" w:rsidR="006A3A01" w:rsidRPr="003C04F1" w:rsidRDefault="00B120BA" w:rsidP="007F1392">
            <w:pPr>
              <w:pStyle w:val="Tablehead"/>
            </w:pPr>
            <w:r w:rsidRPr="003C04F1">
              <w:t>25°-90°</w:t>
            </w:r>
          </w:p>
        </w:tc>
        <w:tc>
          <w:tcPr>
            <w:tcW w:w="1000" w:type="dxa"/>
            <w:vMerge/>
            <w:noWrap/>
            <w:vAlign w:val="center"/>
          </w:tcPr>
          <w:p w14:paraId="6F7BF5EB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b/>
                <w:sz w:val="20"/>
              </w:rPr>
            </w:pPr>
          </w:p>
        </w:tc>
      </w:tr>
      <w:tr w:rsidR="00F06DA6" w:rsidRPr="003C04F1" w14:paraId="16DD6613" w14:textId="77777777" w:rsidTr="00042154">
        <w:trPr>
          <w:cantSplit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6BE77" w14:textId="742195C4" w:rsidR="00F06DA6" w:rsidRPr="003C04F1" w:rsidRDefault="00F06DA6" w:rsidP="00F06DA6">
            <w:pPr>
              <w:pStyle w:val="Tabletext"/>
              <w:keepNext/>
            </w:pPr>
            <w:r>
              <w:t>…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95AA21" w14:textId="13A70734" w:rsidR="00F06DA6" w:rsidRPr="003C04F1" w:rsidRDefault="00F06DA6" w:rsidP="00F06DA6">
            <w:pPr>
              <w:pStyle w:val="Tabletext"/>
              <w:keepNext/>
            </w:pPr>
            <w:r w:rsidRPr="00A671B8">
              <w:t>…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14:paraId="2CAC9818" w14:textId="77A39DDF" w:rsidR="00F06DA6" w:rsidRPr="003C04F1" w:rsidRDefault="00F06DA6" w:rsidP="00F06DA6">
            <w:pPr>
              <w:pStyle w:val="Tabletext"/>
              <w:keepNext/>
              <w:jc w:val="center"/>
            </w:pPr>
            <w:r w:rsidRPr="00A671B8">
              <w:t>…</w:t>
            </w:r>
          </w:p>
        </w:tc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4539DF8" w14:textId="3C2A940A" w:rsidR="00F06DA6" w:rsidRPr="003C04F1" w:rsidRDefault="00F06DA6" w:rsidP="00F06DA6">
            <w:pPr>
              <w:pStyle w:val="Tabletext"/>
              <w:keepNext/>
              <w:jc w:val="center"/>
            </w:pPr>
            <w:r w:rsidRPr="00A671B8">
              <w:t>…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14:paraId="46E01759" w14:textId="2B068811" w:rsidR="00F06DA6" w:rsidRPr="003C04F1" w:rsidRDefault="00F06DA6" w:rsidP="00F06DA6">
            <w:pPr>
              <w:pStyle w:val="Tabletext"/>
              <w:keepNext/>
              <w:jc w:val="center"/>
            </w:pPr>
            <w:r w:rsidRPr="00A671B8">
              <w:t>…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8CAC" w14:textId="4ACB2734" w:rsidR="00F06DA6" w:rsidRPr="003C04F1" w:rsidRDefault="00F06DA6" w:rsidP="00F06DA6">
            <w:pPr>
              <w:pStyle w:val="Tabletext"/>
              <w:keepNext/>
              <w:jc w:val="center"/>
            </w:pPr>
            <w:r w:rsidRPr="00A671B8">
              <w:t>…</w:t>
            </w:r>
          </w:p>
        </w:tc>
      </w:tr>
    </w:tbl>
    <w:p w14:paraId="006C2500" w14:textId="6A4BFCBA" w:rsidR="006A3A01" w:rsidRPr="003C04F1" w:rsidRDefault="00B120BA" w:rsidP="007F1392">
      <w:pPr>
        <w:pStyle w:val="TableNo"/>
      </w:pPr>
      <w:r w:rsidRPr="003C04F1">
        <w:t xml:space="preserve">TABLE  </w:t>
      </w:r>
      <w:r w:rsidRPr="003C04F1">
        <w:rPr>
          <w:b/>
          <w:bCs/>
        </w:rPr>
        <w:t>21-4</w:t>
      </w:r>
      <w:r w:rsidRPr="003C04F1">
        <w:t>  (</w:t>
      </w:r>
      <w:r w:rsidRPr="003C04F1">
        <w:rPr>
          <w:i/>
          <w:iCs/>
          <w:caps w:val="0"/>
        </w:rPr>
        <w:t>continued</w:t>
      </w:r>
      <w:r w:rsidRPr="003C04F1">
        <w:t>)</w:t>
      </w:r>
      <w:r w:rsidRPr="003C04F1">
        <w:rPr>
          <w:sz w:val="16"/>
          <w:szCs w:val="16"/>
        </w:rPr>
        <w:t>     (</w:t>
      </w:r>
      <w:r w:rsidRPr="003C04F1">
        <w:rPr>
          <w:caps w:val="0"/>
          <w:sz w:val="16"/>
          <w:szCs w:val="16"/>
        </w:rPr>
        <w:t>Rev</w:t>
      </w:r>
      <w:r w:rsidRPr="003C04F1">
        <w:rPr>
          <w:sz w:val="16"/>
          <w:szCs w:val="16"/>
        </w:rPr>
        <w:t>.WRC</w:t>
      </w:r>
      <w:r w:rsidRPr="003C04F1">
        <w:rPr>
          <w:sz w:val="16"/>
          <w:szCs w:val="16"/>
        </w:rPr>
        <w:noBreakHyphen/>
      </w:r>
      <w:del w:id="25" w:author="CEPT" w:date="2023-05-04T11:56:00Z">
        <w:r w:rsidRPr="003C04F1" w:rsidDel="000A229D">
          <w:rPr>
            <w:sz w:val="16"/>
            <w:szCs w:val="16"/>
          </w:rPr>
          <w:delText>19</w:delText>
        </w:r>
      </w:del>
      <w:ins w:id="26" w:author="CEPT" w:date="2023-05-04T11:56:00Z">
        <w:r w:rsidR="000A229D">
          <w:rPr>
            <w:sz w:val="16"/>
            <w:szCs w:val="16"/>
          </w:rPr>
          <w:t>23</w:t>
        </w:r>
      </w:ins>
      <w:r w:rsidRPr="003C04F1">
        <w:rPr>
          <w:sz w:val="16"/>
          <w:szCs w:val="16"/>
        </w:rPr>
        <w:t>)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134"/>
        <w:gridCol w:w="1205"/>
        <w:gridCol w:w="941"/>
        <w:gridCol w:w="1185"/>
        <w:gridCol w:w="1098"/>
        <w:gridCol w:w="1074"/>
      </w:tblGrid>
      <w:tr w:rsidR="007F1392" w:rsidRPr="003C04F1" w14:paraId="00DC06E9" w14:textId="77777777" w:rsidTr="007F1392">
        <w:trPr>
          <w:cantSplit/>
          <w:jc w:val="center"/>
        </w:trPr>
        <w:tc>
          <w:tcPr>
            <w:tcW w:w="2002" w:type="dxa"/>
            <w:vMerge w:val="restart"/>
            <w:vAlign w:val="center"/>
          </w:tcPr>
          <w:p w14:paraId="4FD41244" w14:textId="77777777" w:rsidR="006A3A01" w:rsidRPr="003C04F1" w:rsidRDefault="00B120BA" w:rsidP="007F1392">
            <w:pPr>
              <w:pStyle w:val="Tablehead"/>
            </w:pPr>
            <w:r w:rsidRPr="003C04F1">
              <w:t>Frequency band</w:t>
            </w:r>
          </w:p>
        </w:tc>
        <w:tc>
          <w:tcPr>
            <w:tcW w:w="2134" w:type="dxa"/>
            <w:vMerge w:val="restart"/>
            <w:vAlign w:val="center"/>
          </w:tcPr>
          <w:p w14:paraId="15CDAD6C" w14:textId="77777777" w:rsidR="006A3A01" w:rsidRPr="003C04F1" w:rsidRDefault="00B120BA" w:rsidP="007F1392">
            <w:pPr>
              <w:pStyle w:val="Tablehead"/>
            </w:pPr>
            <w:r w:rsidRPr="003C04F1">
              <w:t>Service*</w:t>
            </w:r>
          </w:p>
        </w:tc>
        <w:tc>
          <w:tcPr>
            <w:tcW w:w="4429" w:type="dxa"/>
            <w:gridSpan w:val="4"/>
            <w:vAlign w:val="center"/>
          </w:tcPr>
          <w:p w14:paraId="0E82CAB3" w14:textId="77777777" w:rsidR="006A3A01" w:rsidRPr="003C04F1" w:rsidRDefault="00B120BA" w:rsidP="007F1392">
            <w:pPr>
              <w:pStyle w:val="Tablehead"/>
            </w:pPr>
            <w:r w:rsidRPr="003C04F1">
              <w:t>Limit in dB(W/m</w:t>
            </w:r>
            <w:r w:rsidRPr="003C04F1">
              <w:rPr>
                <w:vertAlign w:val="superscript"/>
              </w:rPr>
              <w:t>2</w:t>
            </w:r>
            <w:r w:rsidRPr="003C04F1">
              <w:t>) for angles</w:t>
            </w:r>
            <w:r w:rsidRPr="003C04F1">
              <w:br/>
              <w:t>of arrival (δ) above the horizontal plane</w:t>
            </w:r>
          </w:p>
        </w:tc>
        <w:tc>
          <w:tcPr>
            <w:tcW w:w="1074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14:paraId="4AA6ECEC" w14:textId="77777777" w:rsidR="006A3A01" w:rsidRPr="003C04F1" w:rsidRDefault="00B120BA" w:rsidP="007F1392">
            <w:pPr>
              <w:pStyle w:val="Tablehead"/>
            </w:pPr>
            <w:r w:rsidRPr="003C04F1">
              <w:t>Reference bandwidth</w:t>
            </w:r>
          </w:p>
        </w:tc>
      </w:tr>
      <w:tr w:rsidR="007F1392" w:rsidRPr="003C04F1" w14:paraId="3FE2EEC4" w14:textId="77777777" w:rsidTr="007F1392">
        <w:trPr>
          <w:cantSplit/>
          <w:jc w:val="center"/>
        </w:trPr>
        <w:tc>
          <w:tcPr>
            <w:tcW w:w="2002" w:type="dxa"/>
            <w:vMerge/>
            <w:vAlign w:val="center"/>
          </w:tcPr>
          <w:p w14:paraId="1401BEB6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b/>
                <w:sz w:val="20"/>
              </w:rPr>
            </w:pPr>
          </w:p>
        </w:tc>
        <w:tc>
          <w:tcPr>
            <w:tcW w:w="2134" w:type="dxa"/>
            <w:vMerge/>
            <w:vAlign w:val="center"/>
          </w:tcPr>
          <w:p w14:paraId="21FE0A16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b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29D5B54A" w14:textId="77777777" w:rsidR="006A3A01" w:rsidRPr="003C04F1" w:rsidRDefault="00B120BA" w:rsidP="007F1392">
            <w:pPr>
              <w:pStyle w:val="Tablehead"/>
            </w:pPr>
            <w:r w:rsidRPr="003C04F1">
              <w:t>0°-5°</w:t>
            </w:r>
          </w:p>
        </w:tc>
        <w:tc>
          <w:tcPr>
            <w:tcW w:w="2126" w:type="dxa"/>
            <w:gridSpan w:val="2"/>
            <w:vAlign w:val="center"/>
          </w:tcPr>
          <w:p w14:paraId="06989810" w14:textId="77777777" w:rsidR="006A3A01" w:rsidRPr="003C04F1" w:rsidRDefault="00B120BA" w:rsidP="007F1392">
            <w:pPr>
              <w:pStyle w:val="Tablehead"/>
            </w:pPr>
            <w:r w:rsidRPr="003C04F1">
              <w:t>5°-25°</w:t>
            </w:r>
          </w:p>
        </w:tc>
        <w:tc>
          <w:tcPr>
            <w:tcW w:w="1098" w:type="dxa"/>
            <w:vAlign w:val="center"/>
          </w:tcPr>
          <w:p w14:paraId="270E542D" w14:textId="77777777" w:rsidR="006A3A01" w:rsidRPr="003C04F1" w:rsidRDefault="00B120BA" w:rsidP="007F1392">
            <w:pPr>
              <w:pStyle w:val="Tablehead"/>
            </w:pPr>
            <w:r w:rsidRPr="003C04F1">
              <w:t>25°-90°</w:t>
            </w:r>
          </w:p>
        </w:tc>
        <w:tc>
          <w:tcPr>
            <w:tcW w:w="1074" w:type="dxa"/>
            <w:vMerge/>
            <w:vAlign w:val="center"/>
          </w:tcPr>
          <w:p w14:paraId="6BC00093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b/>
                <w:sz w:val="20"/>
              </w:rPr>
            </w:pPr>
          </w:p>
        </w:tc>
      </w:tr>
      <w:tr w:rsidR="00746609" w:rsidRPr="003C04F1" w14:paraId="31C43E56" w14:textId="77777777" w:rsidTr="007F1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</w:trPr>
        <w:tc>
          <w:tcPr>
            <w:tcW w:w="2002" w:type="dxa"/>
            <w:noWrap/>
            <w:tcMar>
              <w:left w:w="57" w:type="dxa"/>
              <w:right w:w="0" w:type="dxa"/>
            </w:tcMar>
          </w:tcPr>
          <w:p w14:paraId="2D5D3264" w14:textId="5398B663" w:rsidR="00746609" w:rsidRPr="003C04F1" w:rsidRDefault="00746609" w:rsidP="00746609">
            <w:pPr>
              <w:pStyle w:val="Tabletext"/>
              <w:spacing w:before="120"/>
            </w:pPr>
            <w:r>
              <w:t>…</w:t>
            </w:r>
          </w:p>
        </w:tc>
        <w:tc>
          <w:tcPr>
            <w:tcW w:w="2134" w:type="dxa"/>
          </w:tcPr>
          <w:p w14:paraId="6B62F48D" w14:textId="482607DB" w:rsidR="00746609" w:rsidRPr="003C04F1" w:rsidRDefault="00746609" w:rsidP="00746609">
            <w:pPr>
              <w:pStyle w:val="Tabletext"/>
            </w:pPr>
            <w:r>
              <w:t>…</w:t>
            </w:r>
          </w:p>
        </w:tc>
        <w:tc>
          <w:tcPr>
            <w:tcW w:w="1205" w:type="dxa"/>
          </w:tcPr>
          <w:p w14:paraId="4E4CB757" w14:textId="57DFFA88" w:rsidR="00746609" w:rsidRPr="003C04F1" w:rsidRDefault="00746609" w:rsidP="00746609">
            <w:pPr>
              <w:pStyle w:val="Tabletext"/>
              <w:jc w:val="center"/>
            </w:pPr>
            <w:r w:rsidRPr="00146E35">
              <w:t>…</w:t>
            </w:r>
          </w:p>
        </w:tc>
        <w:tc>
          <w:tcPr>
            <w:tcW w:w="2126" w:type="dxa"/>
            <w:gridSpan w:val="2"/>
          </w:tcPr>
          <w:p w14:paraId="702250A8" w14:textId="485D38C5" w:rsidR="00746609" w:rsidRPr="003C04F1" w:rsidRDefault="00746609" w:rsidP="00746609">
            <w:pPr>
              <w:pStyle w:val="Tabletext"/>
              <w:jc w:val="center"/>
            </w:pPr>
            <w:r w:rsidRPr="00146E35">
              <w:t>…</w:t>
            </w:r>
          </w:p>
        </w:tc>
        <w:tc>
          <w:tcPr>
            <w:tcW w:w="1098" w:type="dxa"/>
          </w:tcPr>
          <w:p w14:paraId="6F7D24E1" w14:textId="2FAAFC60" w:rsidR="00746609" w:rsidRPr="003C04F1" w:rsidRDefault="00746609" w:rsidP="00746609">
            <w:pPr>
              <w:pStyle w:val="Tabletext"/>
              <w:jc w:val="center"/>
            </w:pPr>
            <w:r w:rsidRPr="00146E35">
              <w:t>…</w:t>
            </w:r>
          </w:p>
        </w:tc>
        <w:tc>
          <w:tcPr>
            <w:tcW w:w="1074" w:type="dxa"/>
          </w:tcPr>
          <w:p w14:paraId="2EFCC2A7" w14:textId="2BE7CA2A" w:rsidR="00746609" w:rsidRPr="003C04F1" w:rsidRDefault="00746609" w:rsidP="00746609">
            <w:pPr>
              <w:pStyle w:val="Tabletext"/>
              <w:jc w:val="center"/>
            </w:pPr>
            <w:r w:rsidRPr="00146E35">
              <w:t>…</w:t>
            </w:r>
          </w:p>
        </w:tc>
      </w:tr>
      <w:tr w:rsidR="007F1392" w:rsidRPr="003C04F1" w14:paraId="53A5DC33" w14:textId="77777777" w:rsidTr="007F1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</w:trPr>
        <w:tc>
          <w:tcPr>
            <w:tcW w:w="2002" w:type="dxa"/>
            <w:vMerge w:val="restart"/>
          </w:tcPr>
          <w:p w14:paraId="50982F86" w14:textId="77777777" w:rsidR="006A3A01" w:rsidRPr="003C04F1" w:rsidRDefault="00B120BA" w:rsidP="002C69D5">
            <w:pPr>
              <w:pStyle w:val="Tabletext"/>
              <w:rPr>
                <w:noProof/>
              </w:rPr>
            </w:pPr>
            <w:r w:rsidRPr="003C04F1">
              <w:t>13.4-13.65 GHz</w:t>
            </w:r>
            <w:r w:rsidRPr="003C04F1">
              <w:br/>
              <w:t>(Region 1)</w:t>
            </w:r>
          </w:p>
        </w:tc>
        <w:tc>
          <w:tcPr>
            <w:tcW w:w="2134" w:type="dxa"/>
            <w:vMerge w:val="restart"/>
            <w:shd w:val="clear" w:color="auto" w:fill="auto"/>
          </w:tcPr>
          <w:p w14:paraId="7964100D" w14:textId="77777777" w:rsidR="006A3A01" w:rsidRPr="003C04F1" w:rsidRDefault="00B120BA" w:rsidP="002C69D5">
            <w:pPr>
              <w:pStyle w:val="Tabletext"/>
              <w:rPr>
                <w:noProof/>
              </w:rPr>
            </w:pPr>
            <w:r w:rsidRPr="003C04F1">
              <w:t>Fixed-satellite</w:t>
            </w:r>
            <w:r w:rsidRPr="003C04F1">
              <w:br/>
              <w:t>(space-to-Earth)</w:t>
            </w:r>
            <w:r w:rsidRPr="003C04F1">
              <w:br/>
              <w:t>(geostationary-satellite orbit)</w:t>
            </w:r>
          </w:p>
        </w:tc>
        <w:tc>
          <w:tcPr>
            <w:tcW w:w="1205" w:type="dxa"/>
            <w:shd w:val="clear" w:color="auto" w:fill="auto"/>
          </w:tcPr>
          <w:p w14:paraId="0EC8C3E7" w14:textId="77777777" w:rsidR="006A3A01" w:rsidRPr="003C04F1" w:rsidRDefault="00B120BA" w:rsidP="007F1392">
            <w:pPr>
              <w:pStyle w:val="Tabletext"/>
              <w:jc w:val="center"/>
              <w:rPr>
                <w:b/>
                <w:bCs/>
                <w:noProof/>
              </w:rPr>
            </w:pPr>
            <w:r w:rsidRPr="003C04F1">
              <w:rPr>
                <w:b/>
              </w:rPr>
              <w:t>0°-25°</w:t>
            </w:r>
          </w:p>
        </w:tc>
        <w:tc>
          <w:tcPr>
            <w:tcW w:w="941" w:type="dxa"/>
            <w:shd w:val="clear" w:color="auto" w:fill="auto"/>
          </w:tcPr>
          <w:p w14:paraId="47102E17" w14:textId="77777777" w:rsidR="006A3A01" w:rsidRPr="003C04F1" w:rsidRDefault="00B120BA" w:rsidP="007F1392">
            <w:pPr>
              <w:pStyle w:val="Tabletext"/>
              <w:jc w:val="center"/>
              <w:rPr>
                <w:b/>
                <w:bCs/>
                <w:noProof/>
              </w:rPr>
            </w:pPr>
            <w:r w:rsidRPr="003C04F1">
              <w:rPr>
                <w:b/>
              </w:rPr>
              <w:t>25°-80°</w:t>
            </w:r>
          </w:p>
        </w:tc>
        <w:tc>
          <w:tcPr>
            <w:tcW w:w="1185" w:type="dxa"/>
            <w:shd w:val="clear" w:color="auto" w:fill="auto"/>
          </w:tcPr>
          <w:p w14:paraId="52C4F289" w14:textId="77777777" w:rsidR="006A3A01" w:rsidRPr="003C04F1" w:rsidRDefault="00B120BA" w:rsidP="007F1392">
            <w:pPr>
              <w:pStyle w:val="Tabletext"/>
              <w:jc w:val="center"/>
              <w:rPr>
                <w:b/>
                <w:bCs/>
                <w:noProof/>
              </w:rPr>
            </w:pPr>
            <w:r w:rsidRPr="003C04F1">
              <w:rPr>
                <w:b/>
              </w:rPr>
              <w:t>80°-84°</w:t>
            </w:r>
          </w:p>
        </w:tc>
        <w:tc>
          <w:tcPr>
            <w:tcW w:w="1098" w:type="dxa"/>
          </w:tcPr>
          <w:p w14:paraId="689944DD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rPr>
                <w:b/>
              </w:rPr>
              <w:t>84°-90°</w:t>
            </w:r>
          </w:p>
        </w:tc>
        <w:tc>
          <w:tcPr>
            <w:tcW w:w="1074" w:type="dxa"/>
            <w:vMerge w:val="restart"/>
          </w:tcPr>
          <w:p w14:paraId="5AF3BCFB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t>4 kHz</w:t>
            </w:r>
          </w:p>
        </w:tc>
      </w:tr>
      <w:tr w:rsidR="007F1392" w:rsidRPr="003C04F1" w14:paraId="66DB1744" w14:textId="77777777" w:rsidTr="007F1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</w:trPr>
        <w:tc>
          <w:tcPr>
            <w:tcW w:w="2002" w:type="dxa"/>
            <w:vMerge/>
          </w:tcPr>
          <w:p w14:paraId="1CFD6367" w14:textId="77777777" w:rsidR="006A3A01" w:rsidRPr="003C04F1" w:rsidRDefault="006A3A01" w:rsidP="002C69D5">
            <w:pPr>
              <w:pStyle w:val="Tabletext"/>
              <w:rPr>
                <w:noProof/>
              </w:rPr>
            </w:pPr>
          </w:p>
        </w:tc>
        <w:tc>
          <w:tcPr>
            <w:tcW w:w="2134" w:type="dxa"/>
            <w:vMerge/>
            <w:shd w:val="clear" w:color="auto" w:fill="auto"/>
          </w:tcPr>
          <w:p w14:paraId="3FDB15D9" w14:textId="77777777" w:rsidR="006A3A01" w:rsidRPr="003C04F1" w:rsidRDefault="006A3A01" w:rsidP="002C69D5">
            <w:pPr>
              <w:pStyle w:val="Tabletext"/>
              <w:rPr>
                <w:noProof/>
              </w:rPr>
            </w:pPr>
          </w:p>
        </w:tc>
        <w:tc>
          <w:tcPr>
            <w:tcW w:w="1205" w:type="dxa"/>
            <w:shd w:val="clear" w:color="auto" w:fill="auto"/>
          </w:tcPr>
          <w:p w14:paraId="52E1FED9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t xml:space="preserve">−159 + </w:t>
            </w:r>
            <w:r w:rsidRPr="003C04F1">
              <w:br/>
              <w:t xml:space="preserve">0.4δ </w:t>
            </w:r>
            <w:r w:rsidRPr="003C04F1">
              <w:rPr>
                <w:position w:val="6"/>
                <w:sz w:val="16"/>
                <w:szCs w:val="16"/>
              </w:rPr>
              <w:t>19</w:t>
            </w:r>
          </w:p>
        </w:tc>
        <w:tc>
          <w:tcPr>
            <w:tcW w:w="941" w:type="dxa"/>
            <w:shd w:val="clear" w:color="auto" w:fill="auto"/>
            <w:tcMar>
              <w:left w:w="28" w:type="dxa"/>
              <w:right w:w="28" w:type="dxa"/>
            </w:tcMar>
          </w:tcPr>
          <w:p w14:paraId="42FA9C94" w14:textId="77777777" w:rsidR="006A3A01" w:rsidRPr="003C04F1" w:rsidRDefault="00B120BA" w:rsidP="007F1392">
            <w:pPr>
              <w:pStyle w:val="Tabletext"/>
              <w:jc w:val="center"/>
              <w:rPr>
                <w:noProof/>
                <w:vertAlign w:val="superscript"/>
              </w:rPr>
            </w:pPr>
            <w:r w:rsidRPr="003C04F1">
              <w:t xml:space="preserve">−149 </w:t>
            </w:r>
            <w:r w:rsidRPr="003C04F1">
              <w:rPr>
                <w:position w:val="6"/>
                <w:sz w:val="16"/>
                <w:szCs w:val="16"/>
              </w:rPr>
              <w:t>19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14:paraId="2355BA20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t xml:space="preserve">−149 − </w:t>
            </w:r>
            <w:r w:rsidRPr="003C04F1">
              <w:br/>
              <w:t>0.5(δ − 80)</w:t>
            </w:r>
            <w:r w:rsidRPr="003C04F1" w:rsidDel="00CF1284">
              <w:rPr>
                <w:rStyle w:val="Appelnotedebasdep"/>
                <w:vertAlign w:val="superscript"/>
              </w:rPr>
              <w:t xml:space="preserve"> </w:t>
            </w:r>
            <w:r w:rsidRPr="003C04F1">
              <w:rPr>
                <w:position w:val="6"/>
                <w:sz w:val="16"/>
                <w:szCs w:val="16"/>
              </w:rPr>
              <w:t>19</w:t>
            </w:r>
          </w:p>
        </w:tc>
        <w:tc>
          <w:tcPr>
            <w:tcW w:w="1098" w:type="dxa"/>
          </w:tcPr>
          <w:p w14:paraId="2AD227BB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t xml:space="preserve">−151 </w:t>
            </w:r>
            <w:r w:rsidRPr="003C04F1">
              <w:rPr>
                <w:position w:val="6"/>
                <w:sz w:val="16"/>
                <w:szCs w:val="16"/>
              </w:rPr>
              <w:t>19</w:t>
            </w:r>
          </w:p>
        </w:tc>
        <w:tc>
          <w:tcPr>
            <w:tcW w:w="1074" w:type="dxa"/>
            <w:vMerge/>
          </w:tcPr>
          <w:p w14:paraId="5B4AFD0F" w14:textId="77777777" w:rsidR="006A3A01" w:rsidRPr="003C04F1" w:rsidRDefault="006A3A01" w:rsidP="007F1392">
            <w:pPr>
              <w:pStyle w:val="Tabletext"/>
              <w:rPr>
                <w:noProof/>
              </w:rPr>
            </w:pPr>
          </w:p>
        </w:tc>
      </w:tr>
      <w:tr w:rsidR="00746609" w:rsidRPr="000E06B8" w14:paraId="61C73B1A" w14:textId="77777777" w:rsidTr="006D3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090"/>
          <w:jc w:val="center"/>
          <w:ins w:id="27" w:author="CEPT" w:date="2023-05-04T11:56:00Z"/>
        </w:trPr>
        <w:tc>
          <w:tcPr>
            <w:tcW w:w="2002" w:type="dxa"/>
          </w:tcPr>
          <w:p w14:paraId="253035CD" w14:textId="77777777" w:rsidR="00746609" w:rsidRPr="000E06B8" w:rsidRDefault="00746609" w:rsidP="006D3C3C">
            <w:pPr>
              <w:pStyle w:val="Tabletext"/>
              <w:rPr>
                <w:ins w:id="28" w:author="CEPT" w:date="2023-05-04T11:56:00Z"/>
              </w:rPr>
            </w:pPr>
            <w:ins w:id="29" w:author="CEPT" w:date="2023-05-04T11:56:00Z">
              <w:r w:rsidRPr="000E06B8">
                <w:lastRenderedPageBreak/>
                <w:t>14.8-15.35 GHz</w:t>
              </w:r>
            </w:ins>
          </w:p>
        </w:tc>
        <w:tc>
          <w:tcPr>
            <w:tcW w:w="2134" w:type="dxa"/>
            <w:shd w:val="clear" w:color="auto" w:fill="auto"/>
          </w:tcPr>
          <w:p w14:paraId="458CC41A" w14:textId="77777777" w:rsidR="00746609" w:rsidRDefault="00746609" w:rsidP="006D3C3C">
            <w:pPr>
              <w:pStyle w:val="Tabletext"/>
              <w:rPr>
                <w:ins w:id="30" w:author="CEPT" w:date="2023-05-04T11:56:00Z"/>
              </w:rPr>
            </w:pPr>
            <w:ins w:id="31" w:author="CEPT" w:date="2023-05-04T11:56:00Z">
              <w:r w:rsidRPr="000E06B8">
                <w:t>Space research</w:t>
              </w:r>
              <w:r w:rsidRPr="000E06B8">
                <w:br/>
                <w:t>(space-to-space)</w:t>
              </w:r>
            </w:ins>
          </w:p>
          <w:p w14:paraId="444BEFFD" w14:textId="77777777" w:rsidR="00746609" w:rsidRPr="000E06B8" w:rsidRDefault="00746609" w:rsidP="006D3C3C">
            <w:pPr>
              <w:pStyle w:val="Tabletext"/>
              <w:rPr>
                <w:ins w:id="32" w:author="CEPT" w:date="2023-05-04T11:56:00Z"/>
              </w:rPr>
            </w:pPr>
            <w:ins w:id="33" w:author="CEPT" w:date="2023-05-04T11:56:00Z">
              <w:r w:rsidRPr="000E06B8">
                <w:t>(</w:t>
              </w:r>
              <w:proofErr w:type="gramStart"/>
              <w:r w:rsidRPr="000E06B8">
                <w:t>space</w:t>
              </w:r>
              <w:proofErr w:type="gramEnd"/>
              <w:r w:rsidRPr="000E06B8">
                <w:t>-to-Earth)</w:t>
              </w:r>
            </w:ins>
          </w:p>
        </w:tc>
        <w:tc>
          <w:tcPr>
            <w:tcW w:w="4429" w:type="dxa"/>
            <w:gridSpan w:val="4"/>
            <w:shd w:val="clear" w:color="auto" w:fill="auto"/>
          </w:tcPr>
          <w:p w14:paraId="30428EE2" w14:textId="77777777" w:rsidR="00746609" w:rsidRPr="000E06B8" w:rsidRDefault="00746609" w:rsidP="006D3C3C">
            <w:pPr>
              <w:pStyle w:val="Tabletext"/>
              <w:jc w:val="center"/>
              <w:rPr>
                <w:ins w:id="34" w:author="CEPT" w:date="2023-05-04T11:56:00Z"/>
              </w:rPr>
            </w:pPr>
            <w:ins w:id="35" w:author="CEPT" w:date="2023-05-04T11:56:00Z">
              <w:r w:rsidRPr="000E06B8">
                <w:t>−145.6</w:t>
              </w:r>
            </w:ins>
          </w:p>
        </w:tc>
        <w:tc>
          <w:tcPr>
            <w:tcW w:w="1074" w:type="dxa"/>
          </w:tcPr>
          <w:p w14:paraId="04704301" w14:textId="77777777" w:rsidR="00746609" w:rsidRPr="000E06B8" w:rsidRDefault="00746609" w:rsidP="006D3C3C">
            <w:pPr>
              <w:pStyle w:val="Tabletext"/>
              <w:jc w:val="center"/>
              <w:rPr>
                <w:ins w:id="36" w:author="CEPT" w:date="2023-05-04T11:56:00Z"/>
              </w:rPr>
            </w:pPr>
            <w:ins w:id="37" w:author="CEPT" w:date="2023-05-04T11:56:00Z">
              <w:r w:rsidRPr="000E06B8">
                <w:t>1 MHz</w:t>
              </w:r>
            </w:ins>
          </w:p>
        </w:tc>
      </w:tr>
      <w:tr w:rsidR="007F1392" w:rsidRPr="003C04F1" w14:paraId="4B15C998" w14:textId="77777777" w:rsidTr="007F1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</w:trPr>
        <w:tc>
          <w:tcPr>
            <w:tcW w:w="2002" w:type="dxa"/>
            <w:vMerge w:val="restart"/>
          </w:tcPr>
          <w:p w14:paraId="7E187E57" w14:textId="77777777" w:rsidR="006A3A01" w:rsidRPr="003C04F1" w:rsidRDefault="00B120BA" w:rsidP="002C69D5">
            <w:pPr>
              <w:pStyle w:val="Tabletext"/>
              <w:rPr>
                <w:noProof/>
              </w:rPr>
            </w:pPr>
            <w:r w:rsidRPr="003C04F1">
              <w:rPr>
                <w:noProof/>
              </w:rPr>
              <w:t xml:space="preserve">17.7-19.3 GHz </w:t>
            </w:r>
            <w:r w:rsidRPr="003C04F1">
              <w:rPr>
                <w:position w:val="6"/>
                <w:sz w:val="16"/>
                <w:szCs w:val="16"/>
              </w:rPr>
              <w:t>7, 8</w:t>
            </w:r>
          </w:p>
        </w:tc>
        <w:tc>
          <w:tcPr>
            <w:tcW w:w="2134" w:type="dxa"/>
            <w:vMerge w:val="restart"/>
          </w:tcPr>
          <w:p w14:paraId="0CB3CC5D" w14:textId="77777777" w:rsidR="006A3A01" w:rsidRPr="003C04F1" w:rsidRDefault="00B120BA" w:rsidP="002C69D5">
            <w:pPr>
              <w:pStyle w:val="Tabletext"/>
              <w:rPr>
                <w:noProof/>
              </w:rPr>
            </w:pPr>
            <w:r w:rsidRPr="003C04F1">
              <w:rPr>
                <w:noProof/>
              </w:rPr>
              <w:t>Fixed-satellite</w:t>
            </w:r>
          </w:p>
          <w:p w14:paraId="68B3CFE5" w14:textId="77777777" w:rsidR="006A3A01" w:rsidRPr="003C04F1" w:rsidRDefault="00B120BA" w:rsidP="002C69D5">
            <w:pPr>
              <w:pStyle w:val="Tabletext"/>
              <w:rPr>
                <w:noProof/>
              </w:rPr>
            </w:pPr>
            <w:r w:rsidRPr="003C04F1">
              <w:rPr>
                <w:noProof/>
              </w:rPr>
              <w:t>(space-to-Earth)</w:t>
            </w:r>
          </w:p>
          <w:p w14:paraId="553B624D" w14:textId="77777777" w:rsidR="006A3A01" w:rsidRPr="003C04F1" w:rsidRDefault="00B120BA" w:rsidP="002C69D5">
            <w:pPr>
              <w:pStyle w:val="Tabletext"/>
              <w:rPr>
                <w:noProof/>
              </w:rPr>
            </w:pPr>
            <w:r w:rsidRPr="003C04F1">
              <w:rPr>
                <w:noProof/>
              </w:rPr>
              <w:t>Meteorological-satellite</w:t>
            </w:r>
          </w:p>
          <w:p w14:paraId="62370334" w14:textId="77777777" w:rsidR="006A3A01" w:rsidRPr="003C04F1" w:rsidRDefault="00B120BA" w:rsidP="002C69D5">
            <w:pPr>
              <w:pStyle w:val="Tabletext"/>
              <w:rPr>
                <w:noProof/>
              </w:rPr>
            </w:pPr>
            <w:r w:rsidRPr="003C04F1">
              <w:rPr>
                <w:noProof/>
              </w:rPr>
              <w:t>(space-to-Earth)</w:t>
            </w:r>
          </w:p>
        </w:tc>
        <w:tc>
          <w:tcPr>
            <w:tcW w:w="1205" w:type="dxa"/>
          </w:tcPr>
          <w:p w14:paraId="7382DCEC" w14:textId="77777777" w:rsidR="006A3A01" w:rsidRPr="003C04F1" w:rsidRDefault="00B120BA" w:rsidP="007F1392">
            <w:pPr>
              <w:pStyle w:val="Tabletext"/>
              <w:ind w:left="-57" w:right="-57"/>
              <w:jc w:val="center"/>
              <w:rPr>
                <w:noProof/>
              </w:rPr>
            </w:pPr>
            <w:r w:rsidRPr="003C04F1">
              <w:rPr>
                <w:b/>
              </w:rPr>
              <w:t>0°-5°</w:t>
            </w:r>
          </w:p>
        </w:tc>
        <w:tc>
          <w:tcPr>
            <w:tcW w:w="2126" w:type="dxa"/>
            <w:gridSpan w:val="2"/>
          </w:tcPr>
          <w:p w14:paraId="7E622D50" w14:textId="77777777" w:rsidR="006A3A01" w:rsidRPr="003C04F1" w:rsidRDefault="00B120BA" w:rsidP="007F1392">
            <w:pPr>
              <w:pStyle w:val="Tabletext"/>
              <w:ind w:left="-113" w:right="-113"/>
              <w:jc w:val="center"/>
              <w:rPr>
                <w:noProof/>
              </w:rPr>
            </w:pPr>
            <w:r w:rsidRPr="003C04F1">
              <w:rPr>
                <w:b/>
              </w:rPr>
              <w:t>5°-25°</w:t>
            </w:r>
          </w:p>
        </w:tc>
        <w:tc>
          <w:tcPr>
            <w:tcW w:w="1098" w:type="dxa"/>
            <w:noWrap/>
            <w:tcMar>
              <w:left w:w="0" w:type="dxa"/>
              <w:right w:w="0" w:type="dxa"/>
            </w:tcMar>
          </w:tcPr>
          <w:p w14:paraId="17713F57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rPr>
                <w:b/>
              </w:rPr>
              <w:t>25°-90°</w:t>
            </w:r>
          </w:p>
        </w:tc>
        <w:tc>
          <w:tcPr>
            <w:tcW w:w="1074" w:type="dxa"/>
            <w:vMerge w:val="restart"/>
          </w:tcPr>
          <w:p w14:paraId="6E97A805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rPr>
                <w:noProof/>
              </w:rPr>
              <w:t>1 MHz</w:t>
            </w:r>
          </w:p>
        </w:tc>
      </w:tr>
      <w:tr w:rsidR="007F1392" w:rsidRPr="003C04F1" w14:paraId="0112D6FD" w14:textId="77777777" w:rsidTr="007F1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</w:trPr>
        <w:tc>
          <w:tcPr>
            <w:tcW w:w="2002" w:type="dxa"/>
            <w:vMerge/>
          </w:tcPr>
          <w:p w14:paraId="1DE396C6" w14:textId="77777777" w:rsidR="006A3A01" w:rsidRPr="003C04F1" w:rsidRDefault="006A3A01" w:rsidP="002C69D5">
            <w:pPr>
              <w:pStyle w:val="Tabletext"/>
              <w:rPr>
                <w:noProof/>
              </w:rPr>
            </w:pPr>
          </w:p>
        </w:tc>
        <w:tc>
          <w:tcPr>
            <w:tcW w:w="2134" w:type="dxa"/>
            <w:vMerge/>
          </w:tcPr>
          <w:p w14:paraId="3F1BF981" w14:textId="77777777" w:rsidR="006A3A01" w:rsidRPr="003C04F1" w:rsidRDefault="006A3A01" w:rsidP="002C69D5">
            <w:pPr>
              <w:pStyle w:val="Tabletext"/>
              <w:rPr>
                <w:noProof/>
              </w:rPr>
            </w:pPr>
          </w:p>
        </w:tc>
        <w:tc>
          <w:tcPr>
            <w:tcW w:w="1205" w:type="dxa"/>
          </w:tcPr>
          <w:p w14:paraId="2F3F9FF5" w14:textId="77777777" w:rsidR="006A3A01" w:rsidRPr="003C04F1" w:rsidRDefault="00B120BA" w:rsidP="007F1392">
            <w:pPr>
              <w:pStyle w:val="Tabletext"/>
              <w:ind w:left="-57" w:right="-57"/>
              <w:jc w:val="center"/>
              <w:rPr>
                <w:noProof/>
              </w:rPr>
            </w:pPr>
            <w:r w:rsidRPr="003C04F1">
              <w:rPr>
                <w:noProof/>
              </w:rPr>
              <w:t xml:space="preserve">−115 </w:t>
            </w:r>
            <w:r w:rsidRPr="003C04F1">
              <w:rPr>
                <w:position w:val="6"/>
                <w:sz w:val="16"/>
                <w:szCs w:val="16"/>
              </w:rPr>
              <w:t>14, 15</w:t>
            </w:r>
          </w:p>
          <w:p w14:paraId="36E84888" w14:textId="77777777" w:rsidR="006A3A01" w:rsidRPr="003C04F1" w:rsidRDefault="00B120BA" w:rsidP="007F1392">
            <w:pPr>
              <w:pStyle w:val="Tabletext"/>
              <w:ind w:left="-57" w:right="-57"/>
              <w:jc w:val="center"/>
              <w:rPr>
                <w:noProof/>
              </w:rPr>
            </w:pPr>
            <w:r w:rsidRPr="003C04F1">
              <w:rPr>
                <w:noProof/>
              </w:rPr>
              <w:t>or</w:t>
            </w:r>
          </w:p>
          <w:p w14:paraId="08334AAC" w14:textId="77777777" w:rsidR="006A3A01" w:rsidRPr="003C04F1" w:rsidRDefault="00B120BA" w:rsidP="007F1392">
            <w:pPr>
              <w:pStyle w:val="Tabletext"/>
              <w:ind w:left="-57" w:right="-57"/>
              <w:jc w:val="center"/>
              <w:rPr>
                <w:noProof/>
              </w:rPr>
            </w:pPr>
            <w:r w:rsidRPr="003C04F1">
              <w:rPr>
                <w:noProof/>
              </w:rPr>
              <w:t xml:space="preserve">−115 − </w:t>
            </w:r>
            <w:r w:rsidRPr="003C04F1">
              <w:rPr>
                <w:i/>
                <w:iCs/>
                <w:noProof/>
              </w:rPr>
              <w:t>X</w:t>
            </w:r>
            <w:r w:rsidRPr="003C04F1">
              <w:rPr>
                <w:noProof/>
              </w:rPr>
              <w:t xml:space="preserve"> </w:t>
            </w:r>
            <w:r w:rsidRPr="003C04F1">
              <w:rPr>
                <w:position w:val="6"/>
                <w:sz w:val="16"/>
                <w:szCs w:val="16"/>
              </w:rPr>
              <w:t>13</w:t>
            </w:r>
          </w:p>
        </w:tc>
        <w:tc>
          <w:tcPr>
            <w:tcW w:w="2126" w:type="dxa"/>
            <w:gridSpan w:val="2"/>
          </w:tcPr>
          <w:p w14:paraId="32C463FB" w14:textId="77777777" w:rsidR="006A3A01" w:rsidRPr="003C04F1" w:rsidRDefault="00B120BA" w:rsidP="007F1392">
            <w:pPr>
              <w:pStyle w:val="Tabletext"/>
              <w:ind w:left="-113" w:right="-113"/>
              <w:jc w:val="center"/>
              <w:rPr>
                <w:noProof/>
              </w:rPr>
            </w:pPr>
            <w:r w:rsidRPr="003C04F1">
              <w:rPr>
                <w:noProof/>
              </w:rPr>
              <w:t>−115 + 0.5(</w:t>
            </w:r>
            <w:r w:rsidRPr="003C04F1">
              <w:t>δ</w:t>
            </w:r>
            <w:r w:rsidRPr="003C04F1">
              <w:rPr>
                <w:noProof/>
              </w:rPr>
              <w:t xml:space="preserve"> − 5) </w:t>
            </w:r>
            <w:r w:rsidRPr="003C04F1">
              <w:rPr>
                <w:position w:val="6"/>
                <w:sz w:val="16"/>
                <w:szCs w:val="16"/>
              </w:rPr>
              <w:t>14, 15</w:t>
            </w:r>
          </w:p>
          <w:p w14:paraId="333C5034" w14:textId="77777777" w:rsidR="006A3A01" w:rsidRPr="003C04F1" w:rsidRDefault="00B120BA" w:rsidP="007F1392">
            <w:pPr>
              <w:pStyle w:val="Tabletext"/>
              <w:ind w:left="-113" w:right="-113"/>
              <w:jc w:val="center"/>
              <w:rPr>
                <w:noProof/>
              </w:rPr>
            </w:pPr>
            <w:r w:rsidRPr="003C04F1">
              <w:rPr>
                <w:noProof/>
              </w:rPr>
              <w:t>or</w:t>
            </w:r>
          </w:p>
          <w:p w14:paraId="2BDDA153" w14:textId="77777777" w:rsidR="006A3A01" w:rsidRPr="003C04F1" w:rsidRDefault="00B120BA" w:rsidP="007F1392">
            <w:pPr>
              <w:pStyle w:val="Tabletext"/>
              <w:ind w:left="-113" w:right="-113"/>
              <w:jc w:val="center"/>
              <w:rPr>
                <w:noProof/>
              </w:rPr>
            </w:pPr>
            <w:r w:rsidRPr="003C04F1">
              <w:rPr>
                <w:noProof/>
              </w:rPr>
              <w:t xml:space="preserve">−115 − </w:t>
            </w:r>
            <w:r w:rsidRPr="003C04F1">
              <w:rPr>
                <w:i/>
                <w:iCs/>
                <w:noProof/>
              </w:rPr>
              <w:t>X</w:t>
            </w:r>
            <w:r w:rsidRPr="003C04F1">
              <w:rPr>
                <w:noProof/>
              </w:rPr>
              <w:t xml:space="preserve"> + ((10 + </w:t>
            </w:r>
            <w:r w:rsidRPr="003C04F1">
              <w:rPr>
                <w:i/>
                <w:iCs/>
                <w:noProof/>
              </w:rPr>
              <w:t>X</w:t>
            </w:r>
            <w:r w:rsidRPr="003C04F1">
              <w:rPr>
                <w:noProof/>
              </w:rPr>
              <w:t xml:space="preserve"> )/20)</w:t>
            </w:r>
          </w:p>
          <w:p w14:paraId="7082BD19" w14:textId="77777777" w:rsidR="006A3A01" w:rsidRPr="003C04F1" w:rsidRDefault="00B120BA" w:rsidP="007F1392">
            <w:pPr>
              <w:pStyle w:val="Tabletext"/>
              <w:ind w:left="-113" w:right="-113"/>
              <w:jc w:val="center"/>
              <w:rPr>
                <w:noProof/>
              </w:rPr>
            </w:pPr>
            <w:r w:rsidRPr="003C04F1">
              <w:rPr>
                <w:noProof/>
              </w:rPr>
              <w:t>(</w:t>
            </w:r>
            <w:r w:rsidRPr="003C04F1">
              <w:t>δ</w:t>
            </w:r>
            <w:r w:rsidRPr="003C04F1">
              <w:rPr>
                <w:noProof/>
              </w:rPr>
              <w:t xml:space="preserve"> − 5) </w:t>
            </w:r>
            <w:r w:rsidRPr="003C04F1">
              <w:rPr>
                <w:position w:val="6"/>
                <w:sz w:val="16"/>
                <w:szCs w:val="16"/>
              </w:rPr>
              <w:t>13</w:t>
            </w:r>
          </w:p>
        </w:tc>
        <w:tc>
          <w:tcPr>
            <w:tcW w:w="1098" w:type="dxa"/>
            <w:noWrap/>
            <w:tcMar>
              <w:left w:w="0" w:type="dxa"/>
              <w:right w:w="0" w:type="dxa"/>
            </w:tcMar>
          </w:tcPr>
          <w:p w14:paraId="629D6104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rPr>
                <w:noProof/>
              </w:rPr>
              <w:t xml:space="preserve">−105 </w:t>
            </w:r>
            <w:r w:rsidRPr="003C04F1">
              <w:rPr>
                <w:position w:val="6"/>
                <w:sz w:val="16"/>
                <w:szCs w:val="16"/>
              </w:rPr>
              <w:t>14, 15</w:t>
            </w:r>
          </w:p>
          <w:p w14:paraId="4A9FB6E3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rPr>
                <w:noProof/>
              </w:rPr>
              <w:t>or</w:t>
            </w:r>
          </w:p>
          <w:p w14:paraId="6C37F389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rPr>
                <w:noProof/>
              </w:rPr>
              <w:t xml:space="preserve">−105 </w:t>
            </w:r>
            <w:r w:rsidRPr="003C04F1">
              <w:rPr>
                <w:position w:val="6"/>
                <w:sz w:val="16"/>
                <w:szCs w:val="16"/>
              </w:rPr>
              <w:t>13</w:t>
            </w:r>
          </w:p>
        </w:tc>
        <w:tc>
          <w:tcPr>
            <w:tcW w:w="1074" w:type="dxa"/>
            <w:vMerge/>
          </w:tcPr>
          <w:p w14:paraId="3986BD24" w14:textId="77777777" w:rsidR="006A3A01" w:rsidRPr="003C04F1" w:rsidRDefault="006A3A01" w:rsidP="007F1392">
            <w:pPr>
              <w:pStyle w:val="Tabletext"/>
              <w:jc w:val="center"/>
              <w:rPr>
                <w:noProof/>
              </w:rPr>
            </w:pPr>
          </w:p>
        </w:tc>
      </w:tr>
      <w:tr w:rsidR="007F1392" w:rsidRPr="003C04F1" w14:paraId="2F7F207D" w14:textId="77777777" w:rsidTr="007F1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</w:trPr>
        <w:tc>
          <w:tcPr>
            <w:tcW w:w="2002" w:type="dxa"/>
            <w:vMerge/>
          </w:tcPr>
          <w:p w14:paraId="19AA4D34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ind w:right="-57"/>
              <w:rPr>
                <w:noProof/>
                <w:sz w:val="20"/>
              </w:rPr>
            </w:pPr>
          </w:p>
        </w:tc>
        <w:tc>
          <w:tcPr>
            <w:tcW w:w="2134" w:type="dxa"/>
            <w:vMerge/>
            <w:shd w:val="clear" w:color="auto" w:fill="auto"/>
          </w:tcPr>
          <w:p w14:paraId="35607F29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ind w:right="-57"/>
              <w:rPr>
                <w:noProof/>
                <w:sz w:val="20"/>
              </w:rPr>
            </w:pPr>
          </w:p>
        </w:tc>
        <w:tc>
          <w:tcPr>
            <w:tcW w:w="1205" w:type="dxa"/>
          </w:tcPr>
          <w:p w14:paraId="51FB155F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rPr>
                <w:noProof/>
              </w:rPr>
              <w:t>−120 </w:t>
            </w:r>
            <w:r w:rsidRPr="003C04F1">
              <w:rPr>
                <w:position w:val="6"/>
                <w:sz w:val="16"/>
                <w:szCs w:val="16"/>
              </w:rPr>
              <w:t>16</w:t>
            </w:r>
          </w:p>
        </w:tc>
        <w:tc>
          <w:tcPr>
            <w:tcW w:w="941" w:type="dxa"/>
            <w:shd w:val="clear" w:color="auto" w:fill="auto"/>
            <w:tcMar>
              <w:left w:w="28" w:type="dxa"/>
              <w:right w:w="28" w:type="dxa"/>
            </w:tcMar>
          </w:tcPr>
          <w:p w14:paraId="286FB04F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rPr>
                <w:noProof/>
              </w:rPr>
              <w:t xml:space="preserve">−120 + </w:t>
            </w:r>
            <w:r w:rsidRPr="003C04F1">
              <w:rPr>
                <w:noProof/>
              </w:rPr>
              <w:br/>
              <w:t>(8/9)</w:t>
            </w:r>
            <w:r w:rsidRPr="003C04F1">
              <w:rPr>
                <w:noProof/>
              </w:rPr>
              <w:br/>
              <w:t>(</w:t>
            </w:r>
            <w:r w:rsidRPr="003C04F1">
              <w:t>δ</w:t>
            </w:r>
            <w:r w:rsidRPr="003C04F1">
              <w:rPr>
                <w:noProof/>
              </w:rPr>
              <w:t xml:space="preserve"> − 3) </w:t>
            </w:r>
            <w:r w:rsidRPr="003C04F1">
              <w:rPr>
                <w:position w:val="6"/>
                <w:sz w:val="16"/>
                <w:szCs w:val="16"/>
              </w:rPr>
              <w:t>16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14:paraId="5FCB9586" w14:textId="77777777" w:rsidR="006A3A01" w:rsidRPr="003C04F1" w:rsidRDefault="00B120BA" w:rsidP="007F1392">
            <w:pPr>
              <w:pStyle w:val="Tabletext"/>
              <w:jc w:val="center"/>
              <w:rPr>
                <w:noProof/>
              </w:rPr>
            </w:pPr>
            <w:r w:rsidRPr="003C04F1">
              <w:rPr>
                <w:noProof/>
              </w:rPr>
              <w:t>−112 +</w:t>
            </w:r>
            <w:r w:rsidRPr="003C04F1">
              <w:rPr>
                <w:noProof/>
              </w:rPr>
              <w:br/>
              <w:t>(7/13)</w:t>
            </w:r>
            <w:r w:rsidRPr="003C04F1">
              <w:rPr>
                <w:noProof/>
              </w:rPr>
              <w:br/>
              <w:t>(</w:t>
            </w:r>
            <w:r w:rsidRPr="003C04F1">
              <w:t>δ</w:t>
            </w:r>
            <w:r w:rsidRPr="003C04F1">
              <w:rPr>
                <w:noProof/>
              </w:rPr>
              <w:t xml:space="preserve"> − 12) </w:t>
            </w:r>
            <w:r w:rsidRPr="003C04F1">
              <w:rPr>
                <w:position w:val="6"/>
                <w:sz w:val="16"/>
                <w:szCs w:val="16"/>
              </w:rPr>
              <w:t>16</w:t>
            </w:r>
          </w:p>
        </w:tc>
        <w:tc>
          <w:tcPr>
            <w:tcW w:w="1098" w:type="dxa"/>
          </w:tcPr>
          <w:p w14:paraId="203412D1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noProof/>
                <w:sz w:val="20"/>
              </w:rPr>
            </w:pPr>
          </w:p>
        </w:tc>
        <w:tc>
          <w:tcPr>
            <w:tcW w:w="1074" w:type="dxa"/>
            <w:vMerge/>
          </w:tcPr>
          <w:p w14:paraId="08C2AD4D" w14:textId="77777777" w:rsidR="006A3A01" w:rsidRPr="003C04F1" w:rsidRDefault="006A3A01" w:rsidP="007F1392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noProof/>
                <w:sz w:val="20"/>
              </w:rPr>
            </w:pPr>
          </w:p>
        </w:tc>
      </w:tr>
      <w:tr w:rsidR="00800E41" w:rsidRPr="003C04F1" w14:paraId="584E26EE" w14:textId="77777777" w:rsidTr="006D3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</w:trPr>
        <w:tc>
          <w:tcPr>
            <w:tcW w:w="2002" w:type="dxa"/>
            <w:noWrap/>
            <w:tcMar>
              <w:left w:w="57" w:type="dxa"/>
              <w:right w:w="0" w:type="dxa"/>
            </w:tcMar>
          </w:tcPr>
          <w:p w14:paraId="5DC82F8C" w14:textId="77777777" w:rsidR="00800E41" w:rsidRPr="003C04F1" w:rsidRDefault="00800E41" w:rsidP="006D3C3C">
            <w:pPr>
              <w:pStyle w:val="Tabletext"/>
              <w:spacing w:before="120"/>
            </w:pPr>
            <w:r>
              <w:t>…</w:t>
            </w:r>
          </w:p>
        </w:tc>
        <w:tc>
          <w:tcPr>
            <w:tcW w:w="2134" w:type="dxa"/>
          </w:tcPr>
          <w:p w14:paraId="63D4E453" w14:textId="77777777" w:rsidR="00800E41" w:rsidRPr="003C04F1" w:rsidRDefault="00800E41" w:rsidP="006D3C3C">
            <w:pPr>
              <w:pStyle w:val="Tabletext"/>
            </w:pPr>
            <w:r>
              <w:t>…</w:t>
            </w:r>
          </w:p>
        </w:tc>
        <w:tc>
          <w:tcPr>
            <w:tcW w:w="1205" w:type="dxa"/>
          </w:tcPr>
          <w:p w14:paraId="79483584" w14:textId="77777777" w:rsidR="00800E41" w:rsidRPr="003C04F1" w:rsidRDefault="00800E41" w:rsidP="006D3C3C">
            <w:pPr>
              <w:pStyle w:val="Tabletext"/>
              <w:jc w:val="center"/>
            </w:pPr>
            <w:r w:rsidRPr="00146E35">
              <w:t>…</w:t>
            </w:r>
          </w:p>
        </w:tc>
        <w:tc>
          <w:tcPr>
            <w:tcW w:w="2126" w:type="dxa"/>
            <w:gridSpan w:val="2"/>
          </w:tcPr>
          <w:p w14:paraId="623A0256" w14:textId="77777777" w:rsidR="00800E41" w:rsidRPr="003C04F1" w:rsidRDefault="00800E41" w:rsidP="006D3C3C">
            <w:pPr>
              <w:pStyle w:val="Tabletext"/>
              <w:jc w:val="center"/>
            </w:pPr>
            <w:r w:rsidRPr="00146E35">
              <w:t>…</w:t>
            </w:r>
          </w:p>
        </w:tc>
        <w:tc>
          <w:tcPr>
            <w:tcW w:w="1098" w:type="dxa"/>
          </w:tcPr>
          <w:p w14:paraId="667880F8" w14:textId="77777777" w:rsidR="00800E41" w:rsidRPr="003C04F1" w:rsidRDefault="00800E41" w:rsidP="006D3C3C">
            <w:pPr>
              <w:pStyle w:val="Tabletext"/>
              <w:jc w:val="center"/>
            </w:pPr>
            <w:r w:rsidRPr="00146E35">
              <w:t>…</w:t>
            </w:r>
          </w:p>
        </w:tc>
        <w:tc>
          <w:tcPr>
            <w:tcW w:w="1074" w:type="dxa"/>
          </w:tcPr>
          <w:p w14:paraId="37F8A13B" w14:textId="77777777" w:rsidR="00800E41" w:rsidRPr="003C04F1" w:rsidRDefault="00800E41" w:rsidP="006D3C3C">
            <w:pPr>
              <w:pStyle w:val="Tabletext"/>
              <w:jc w:val="center"/>
            </w:pPr>
            <w:r w:rsidRPr="00146E35">
              <w:t>…</w:t>
            </w:r>
          </w:p>
        </w:tc>
      </w:tr>
    </w:tbl>
    <w:p w14:paraId="4FF830B0" w14:textId="54D1D1C1" w:rsidR="00A763D3" w:rsidRDefault="00A763D3">
      <w:pPr>
        <w:pStyle w:val="Reasons"/>
      </w:pPr>
    </w:p>
    <w:p w14:paraId="7F70B0BE" w14:textId="05BBB599" w:rsidR="00A763D3" w:rsidRDefault="00B120BA">
      <w:pPr>
        <w:pStyle w:val="Proposal"/>
      </w:pPr>
      <w:r>
        <w:t>SUP</w:t>
      </w:r>
      <w:r>
        <w:tab/>
        <w:t>EUR/</w:t>
      </w:r>
      <w:r w:rsidR="008A5211">
        <w:t>XXXX</w:t>
      </w:r>
      <w:r>
        <w:t>A13/9</w:t>
      </w:r>
    </w:p>
    <w:p w14:paraId="21395CF1" w14:textId="77777777" w:rsidR="006A3A01" w:rsidRDefault="00B120BA" w:rsidP="002E7269">
      <w:pPr>
        <w:pStyle w:val="ResNo"/>
      </w:pPr>
      <w:bookmarkStart w:id="38" w:name="_Toc39649569"/>
      <w:r>
        <w:t xml:space="preserve">RESOLUTION </w:t>
      </w:r>
      <w:r w:rsidRPr="00286C2D">
        <w:rPr>
          <w:rStyle w:val="href"/>
        </w:rPr>
        <w:t>661</w:t>
      </w:r>
      <w:r>
        <w:t xml:space="preserve"> </w:t>
      </w:r>
      <w:r>
        <w:rPr>
          <w:b/>
          <w:bCs/>
        </w:rPr>
        <w:t>(</w:t>
      </w:r>
      <w:r>
        <w:t>WRC</w:t>
      </w:r>
      <w:r w:rsidRPr="00CA3D63">
        <w:noBreakHyphen/>
      </w:r>
      <w:r>
        <w:t>19</w:t>
      </w:r>
      <w:r>
        <w:rPr>
          <w:b/>
          <w:bCs/>
        </w:rPr>
        <w:t>)</w:t>
      </w:r>
      <w:bookmarkEnd w:id="38"/>
    </w:p>
    <w:p w14:paraId="30AF3D07" w14:textId="77777777" w:rsidR="006A3A01" w:rsidRDefault="00B120BA" w:rsidP="002E7269">
      <w:pPr>
        <w:pStyle w:val="Restitle"/>
      </w:pPr>
      <w:bookmarkStart w:id="39" w:name="_Toc35789397"/>
      <w:bookmarkStart w:id="40" w:name="_Toc35857094"/>
      <w:bookmarkStart w:id="41" w:name="_Toc35877729"/>
      <w:bookmarkStart w:id="42" w:name="_Toc35963672"/>
      <w:bookmarkStart w:id="43" w:name="_Toc39649570"/>
      <w:r>
        <w:t>Examination of a possible upgrade to primary status of the secondary allocation to the space research service in the frequency band 14.8</w:t>
      </w:r>
      <w:r>
        <w:noBreakHyphen/>
        <w:t>15.35 GHz</w:t>
      </w:r>
      <w:bookmarkEnd w:id="39"/>
      <w:bookmarkEnd w:id="40"/>
      <w:bookmarkEnd w:id="41"/>
      <w:bookmarkEnd w:id="42"/>
      <w:bookmarkEnd w:id="43"/>
      <w:r>
        <w:t xml:space="preserve"> </w:t>
      </w:r>
    </w:p>
    <w:p w14:paraId="1AB2A25F" w14:textId="2C70B0F6" w:rsidR="00A763D3" w:rsidRDefault="00B120BA">
      <w:pPr>
        <w:pStyle w:val="Reasons"/>
      </w:pPr>
      <w:r>
        <w:rPr>
          <w:b/>
        </w:rPr>
        <w:t>Reasons:</w:t>
      </w:r>
      <w:r>
        <w:tab/>
      </w:r>
      <w:r w:rsidR="00B61EB2" w:rsidRPr="00913569">
        <w:t xml:space="preserve">On the basis of the proposed </w:t>
      </w:r>
      <w:r w:rsidR="00F43E1C" w:rsidRPr="00913569">
        <w:rPr>
          <w:lang w:val="en-US"/>
        </w:rPr>
        <w:t>upgrade of the allocation to primary status</w:t>
      </w:r>
      <w:r w:rsidR="00885729" w:rsidRPr="00913569">
        <w:t xml:space="preserve"> of the frequency band 14.8-15.35</w:t>
      </w:r>
      <w:r w:rsidR="00913569" w:rsidRPr="00913569">
        <w:t>,</w:t>
      </w:r>
      <w:r w:rsidR="00B61EB2" w:rsidRPr="00913569">
        <w:t xml:space="preserve"> additional studies are not required and therefore </w:t>
      </w:r>
      <w:r w:rsidR="00885729" w:rsidRPr="00913569">
        <w:t>this</w:t>
      </w:r>
      <w:r w:rsidR="00B61EB2" w:rsidRPr="00913569">
        <w:t xml:space="preserve"> Resolution can be suppressed.</w:t>
      </w:r>
    </w:p>
    <w:sectPr w:rsidR="00A763D3">
      <w:headerReference w:type="default" r:id="rId15"/>
      <w:footerReference w:type="even" r:id="rId16"/>
      <w:footerReference w:type="default" r:id="rId17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70191" w14:textId="77777777" w:rsidR="00F53812" w:rsidRDefault="00F53812">
      <w:r>
        <w:separator/>
      </w:r>
    </w:p>
  </w:endnote>
  <w:endnote w:type="continuationSeparator" w:id="0">
    <w:p w14:paraId="5695EDB8" w14:textId="77777777" w:rsidR="00F53812" w:rsidRDefault="00F53812">
      <w:r>
        <w:continuationSeparator/>
      </w:r>
    </w:p>
  </w:endnote>
  <w:endnote w:type="continuationNotice" w:id="1">
    <w:p w14:paraId="7BB5EC64" w14:textId="77777777" w:rsidR="00F53812" w:rsidRDefault="00F5381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525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B380BC0" w14:textId="416FE212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4146F">
      <w:rPr>
        <w:noProof/>
      </w:rPr>
      <w:t>31.08.23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0D56C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99435" w14:textId="77777777" w:rsidR="00F53812" w:rsidRDefault="00F53812">
      <w:r>
        <w:rPr>
          <w:b/>
        </w:rPr>
        <w:t>_______________</w:t>
      </w:r>
    </w:p>
  </w:footnote>
  <w:footnote w:type="continuationSeparator" w:id="0">
    <w:p w14:paraId="7A73A80C" w14:textId="77777777" w:rsidR="00F53812" w:rsidRDefault="00F53812">
      <w:r>
        <w:continuationSeparator/>
      </w:r>
    </w:p>
  </w:footnote>
  <w:footnote w:type="continuationNotice" w:id="1">
    <w:p w14:paraId="032578AE" w14:textId="77777777" w:rsidR="00F53812" w:rsidRDefault="00F53812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BA8BB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78B510FB" w14:textId="77777777" w:rsidR="00A066F1" w:rsidRPr="00A066F1" w:rsidRDefault="00BC75DE" w:rsidP="00241FA2">
    <w:pPr>
      <w:pStyle w:val="En-tte"/>
    </w:pPr>
    <w:r>
      <w:t>WRC</w:t>
    </w:r>
    <w:r w:rsidR="006D70B0">
      <w:t>23</w:t>
    </w:r>
    <w:r w:rsidR="00A066F1">
      <w:t>/</w:t>
    </w:r>
    <w:bookmarkStart w:id="44" w:name="OLE_LINK1"/>
    <w:bookmarkStart w:id="45" w:name="OLE_LINK2"/>
    <w:bookmarkStart w:id="46" w:name="OLE_LINK3"/>
    <w:r w:rsidR="00EB55C6">
      <w:t>4807(Add.13)</w:t>
    </w:r>
    <w:bookmarkEnd w:id="44"/>
    <w:bookmarkEnd w:id="45"/>
    <w:bookmarkEnd w:id="46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 w15:restartNumberingAfterBreak="0">
    <w:nsid w:val="07CA0B73"/>
    <w:multiLevelType w:val="hybridMultilevel"/>
    <w:tmpl w:val="FAF2D974"/>
    <w:lvl w:ilvl="0" w:tplc="E278CD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B4A7C"/>
    <w:multiLevelType w:val="hybridMultilevel"/>
    <w:tmpl w:val="B96CE56A"/>
    <w:lvl w:ilvl="0" w:tplc="91C4760E">
      <w:start w:val="1"/>
      <w:numFmt w:val="bullet"/>
      <w:pStyle w:val="ECCBulletsLv1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PT">
    <w15:presenceInfo w15:providerId="None" w15:userId="CEPT"/>
  </w15:person>
  <w15:person w15:author="Bruno Espinosa">
    <w15:presenceInfo w15:providerId="AD" w15:userId="S::Bruno.Espinosa@esa.int::70d68c8e-9806-4bf9-9282-026815e06d6b"/>
  </w15:person>
  <w15:person w15:author="ITU">
    <w15:presenceInfo w15:providerId="None" w15:userId="IT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410AD"/>
    <w:rsid w:val="00042154"/>
    <w:rsid w:val="00051E39"/>
    <w:rsid w:val="0005631B"/>
    <w:rsid w:val="000705F2"/>
    <w:rsid w:val="00077239"/>
    <w:rsid w:val="0007795D"/>
    <w:rsid w:val="00086491"/>
    <w:rsid w:val="00091346"/>
    <w:rsid w:val="0009706C"/>
    <w:rsid w:val="000A2239"/>
    <w:rsid w:val="000A229D"/>
    <w:rsid w:val="000D154B"/>
    <w:rsid w:val="000D2DAF"/>
    <w:rsid w:val="000E463E"/>
    <w:rsid w:val="000F73FF"/>
    <w:rsid w:val="00114CF7"/>
    <w:rsid w:val="00116C7A"/>
    <w:rsid w:val="0012285D"/>
    <w:rsid w:val="00123B68"/>
    <w:rsid w:val="00126F2E"/>
    <w:rsid w:val="00146F6F"/>
    <w:rsid w:val="00161F26"/>
    <w:rsid w:val="00174777"/>
    <w:rsid w:val="00187BD9"/>
    <w:rsid w:val="00190B55"/>
    <w:rsid w:val="00197B7D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E1642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5530D"/>
    <w:rsid w:val="00484F72"/>
    <w:rsid w:val="00492075"/>
    <w:rsid w:val="004969AD"/>
    <w:rsid w:val="004A26C4"/>
    <w:rsid w:val="004B13CB"/>
    <w:rsid w:val="004C76E9"/>
    <w:rsid w:val="004D26EA"/>
    <w:rsid w:val="004D2BFB"/>
    <w:rsid w:val="004D5D5C"/>
    <w:rsid w:val="004F3DC0"/>
    <w:rsid w:val="0050139F"/>
    <w:rsid w:val="00515C3F"/>
    <w:rsid w:val="00530C8D"/>
    <w:rsid w:val="0055140B"/>
    <w:rsid w:val="005861D7"/>
    <w:rsid w:val="0059572E"/>
    <w:rsid w:val="005964AB"/>
    <w:rsid w:val="005C099A"/>
    <w:rsid w:val="005C31A5"/>
    <w:rsid w:val="005E10C9"/>
    <w:rsid w:val="005E290B"/>
    <w:rsid w:val="005E61DD"/>
    <w:rsid w:val="005F04D8"/>
    <w:rsid w:val="005F2BCE"/>
    <w:rsid w:val="006023DF"/>
    <w:rsid w:val="00615426"/>
    <w:rsid w:val="00616219"/>
    <w:rsid w:val="00624666"/>
    <w:rsid w:val="00634DE0"/>
    <w:rsid w:val="00640EDB"/>
    <w:rsid w:val="0064146F"/>
    <w:rsid w:val="00645B7D"/>
    <w:rsid w:val="00657DE0"/>
    <w:rsid w:val="00685313"/>
    <w:rsid w:val="00692833"/>
    <w:rsid w:val="006A3A01"/>
    <w:rsid w:val="006A6E9B"/>
    <w:rsid w:val="006B7C2A"/>
    <w:rsid w:val="006C23DA"/>
    <w:rsid w:val="006D70B0"/>
    <w:rsid w:val="006E0B6B"/>
    <w:rsid w:val="006E3D45"/>
    <w:rsid w:val="00704DA3"/>
    <w:rsid w:val="0070607A"/>
    <w:rsid w:val="007149F9"/>
    <w:rsid w:val="00720860"/>
    <w:rsid w:val="00733A30"/>
    <w:rsid w:val="00745AEE"/>
    <w:rsid w:val="00746609"/>
    <w:rsid w:val="00750F10"/>
    <w:rsid w:val="007742CA"/>
    <w:rsid w:val="00790D70"/>
    <w:rsid w:val="00791FFB"/>
    <w:rsid w:val="007A6F1F"/>
    <w:rsid w:val="007D5320"/>
    <w:rsid w:val="007E2CE2"/>
    <w:rsid w:val="007F6411"/>
    <w:rsid w:val="00800972"/>
    <w:rsid w:val="00800E41"/>
    <w:rsid w:val="00804475"/>
    <w:rsid w:val="00811633"/>
    <w:rsid w:val="00814037"/>
    <w:rsid w:val="00841216"/>
    <w:rsid w:val="00842AF0"/>
    <w:rsid w:val="0086171E"/>
    <w:rsid w:val="008628BF"/>
    <w:rsid w:val="00872FC8"/>
    <w:rsid w:val="008845D0"/>
    <w:rsid w:val="00884D60"/>
    <w:rsid w:val="00885729"/>
    <w:rsid w:val="00896E56"/>
    <w:rsid w:val="008A5211"/>
    <w:rsid w:val="008B43F2"/>
    <w:rsid w:val="008B6CFF"/>
    <w:rsid w:val="00901589"/>
    <w:rsid w:val="00913569"/>
    <w:rsid w:val="009274B4"/>
    <w:rsid w:val="00934EA2"/>
    <w:rsid w:val="00944A5C"/>
    <w:rsid w:val="00952A66"/>
    <w:rsid w:val="009914AA"/>
    <w:rsid w:val="009B1EA1"/>
    <w:rsid w:val="009B7C9A"/>
    <w:rsid w:val="009C56E5"/>
    <w:rsid w:val="009C7716"/>
    <w:rsid w:val="009E5FC8"/>
    <w:rsid w:val="009E687A"/>
    <w:rsid w:val="009F236F"/>
    <w:rsid w:val="009F4D05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763D3"/>
    <w:rsid w:val="00A8284C"/>
    <w:rsid w:val="00A93B85"/>
    <w:rsid w:val="00AA0B18"/>
    <w:rsid w:val="00AA3C65"/>
    <w:rsid w:val="00AA666F"/>
    <w:rsid w:val="00AB2ED1"/>
    <w:rsid w:val="00AD7914"/>
    <w:rsid w:val="00AE514B"/>
    <w:rsid w:val="00B106C6"/>
    <w:rsid w:val="00B120BA"/>
    <w:rsid w:val="00B40888"/>
    <w:rsid w:val="00B61EB2"/>
    <w:rsid w:val="00B639E9"/>
    <w:rsid w:val="00B817CD"/>
    <w:rsid w:val="00B81A7D"/>
    <w:rsid w:val="00B91EF7"/>
    <w:rsid w:val="00B94AD0"/>
    <w:rsid w:val="00BB3A95"/>
    <w:rsid w:val="00BB3ADD"/>
    <w:rsid w:val="00BC75DE"/>
    <w:rsid w:val="00BD6CCE"/>
    <w:rsid w:val="00BD7EBA"/>
    <w:rsid w:val="00C0018F"/>
    <w:rsid w:val="00C16A5A"/>
    <w:rsid w:val="00C20466"/>
    <w:rsid w:val="00C214ED"/>
    <w:rsid w:val="00C234E6"/>
    <w:rsid w:val="00C324A8"/>
    <w:rsid w:val="00C471DA"/>
    <w:rsid w:val="00C54517"/>
    <w:rsid w:val="00C56F70"/>
    <w:rsid w:val="00C57B91"/>
    <w:rsid w:val="00C6350E"/>
    <w:rsid w:val="00C64CD8"/>
    <w:rsid w:val="00C82695"/>
    <w:rsid w:val="00C91263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41E14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27EF"/>
    <w:rsid w:val="00DD44AF"/>
    <w:rsid w:val="00DE2AC3"/>
    <w:rsid w:val="00DE5692"/>
    <w:rsid w:val="00DE6300"/>
    <w:rsid w:val="00DF4BC6"/>
    <w:rsid w:val="00DF5B8A"/>
    <w:rsid w:val="00DF78E0"/>
    <w:rsid w:val="00E03C94"/>
    <w:rsid w:val="00E104D7"/>
    <w:rsid w:val="00E205BC"/>
    <w:rsid w:val="00E26226"/>
    <w:rsid w:val="00E43E5A"/>
    <w:rsid w:val="00E45D05"/>
    <w:rsid w:val="00E55816"/>
    <w:rsid w:val="00E55AEF"/>
    <w:rsid w:val="00E956F2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06DA6"/>
    <w:rsid w:val="00F06F08"/>
    <w:rsid w:val="00F1503C"/>
    <w:rsid w:val="00F320AA"/>
    <w:rsid w:val="00F43E1C"/>
    <w:rsid w:val="00F53812"/>
    <w:rsid w:val="00F6155B"/>
    <w:rsid w:val="00F65C19"/>
    <w:rsid w:val="00F822B0"/>
    <w:rsid w:val="00FA302C"/>
    <w:rsid w:val="00FD08E2"/>
    <w:rsid w:val="00FD18DA"/>
    <w:rsid w:val="00FD2546"/>
    <w:rsid w:val="00FD63DC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5B8F08D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spacing w:before="200"/>
      <w:outlineLvl w:val="1"/>
    </w:pPr>
    <w:rPr>
      <w:sz w:val="24"/>
    </w:rPr>
  </w:style>
  <w:style w:type="paragraph" w:styleId="Titre3">
    <w:name w:val="heading 3"/>
    <w:basedOn w:val="Titre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pPr>
      <w:outlineLvl w:val="3"/>
    </w:p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Titre4"/>
    <w:next w:val="Normal"/>
    <w:qFormat/>
    <w:pPr>
      <w:outlineLvl w:val="5"/>
    </w:pPr>
  </w:style>
  <w:style w:type="paragraph" w:styleId="Titre7">
    <w:name w:val="heading 7"/>
    <w:basedOn w:val="Titre6"/>
    <w:next w:val="Normal"/>
    <w:qFormat/>
    <w:pPr>
      <w:outlineLvl w:val="6"/>
    </w:pPr>
  </w:style>
  <w:style w:type="paragraph" w:styleId="Titre8">
    <w:name w:val="heading 8"/>
    <w:basedOn w:val="Titre6"/>
    <w:next w:val="Normal"/>
    <w:qFormat/>
    <w:pPr>
      <w:outlineLvl w:val="7"/>
    </w:pPr>
  </w:style>
  <w:style w:type="paragraph" w:styleId="Titre9">
    <w:name w:val="heading 9"/>
    <w:basedOn w:val="Titre6"/>
    <w:next w:val="Normal"/>
    <w:qFormat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Policepardfaut"/>
    <w:rsid w:val="00745AEE"/>
    <w:rPr>
      <w:rFonts w:ascii="Times New Roman" w:hAnsi="Times New Roman"/>
      <w:b/>
    </w:rPr>
  </w:style>
  <w:style w:type="character" w:customStyle="1" w:styleId="Appref">
    <w:name w:val="App_ref"/>
    <w:basedOn w:val="Policepardfau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Policepardfau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Policepardfau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Appeldenotedefin">
    <w:name w:val="endnote reference"/>
    <w:basedOn w:val="Policepardfau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Retraitnormal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Retraitnormal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Pieddepage">
    <w:name w:val="footer"/>
    <w:basedOn w:val="Normal"/>
    <w:link w:val="PieddepageC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PieddepageCar">
    <w:name w:val="Pied de page Car"/>
    <w:basedOn w:val="Policepardfaut"/>
    <w:link w:val="Pieddepage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Pieddepage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Appelnotedebasdep">
    <w:name w:val="footnote reference"/>
    <w:basedOn w:val="Policepardfaut"/>
    <w:rsid w:val="00745AEE"/>
    <w:rPr>
      <w:position w:val="6"/>
      <w:sz w:val="18"/>
    </w:rPr>
  </w:style>
  <w:style w:type="paragraph" w:styleId="Notedebasdepage">
    <w:name w:val="footnote text"/>
    <w:basedOn w:val="Normal"/>
    <w:link w:val="NotedebasdepageCar"/>
    <w:rsid w:val="00745AEE"/>
    <w:pPr>
      <w:keepLines/>
      <w:tabs>
        <w:tab w:val="left" w:pos="255"/>
      </w:tabs>
    </w:pPr>
  </w:style>
  <w:style w:type="character" w:customStyle="1" w:styleId="NotedebasdepageCar">
    <w:name w:val="Note de bas de page Car"/>
    <w:basedOn w:val="Policepardfaut"/>
    <w:link w:val="Notedebasdepage"/>
    <w:rsid w:val="00745AEE"/>
    <w:rPr>
      <w:rFonts w:ascii="Times New Roman" w:hAnsi="Times New Roman"/>
      <w:sz w:val="24"/>
      <w:lang w:val="en-GB" w:eastAsia="en-US"/>
    </w:rPr>
  </w:style>
  <w:style w:type="paragraph" w:styleId="En-tte">
    <w:name w:val="header"/>
    <w:basedOn w:val="Normal"/>
    <w:link w:val="En-tteCar"/>
    <w:rsid w:val="00745AEE"/>
    <w:pPr>
      <w:spacing w:before="0"/>
      <w:jc w:val="center"/>
    </w:pPr>
    <w:rPr>
      <w:sz w:val="18"/>
    </w:rPr>
  </w:style>
  <w:style w:type="character" w:customStyle="1" w:styleId="En-tteCar">
    <w:name w:val="En-tête Car"/>
    <w:basedOn w:val="Policepardfaut"/>
    <w:link w:val="En-tte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Pieddepage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Policepardfau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M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M2">
    <w:name w:val="toc 2"/>
    <w:basedOn w:val="TM1"/>
    <w:rsid w:val="001D058F"/>
    <w:pPr>
      <w:spacing w:before="120"/>
    </w:pPr>
  </w:style>
  <w:style w:type="paragraph" w:styleId="TM3">
    <w:name w:val="toc 3"/>
    <w:basedOn w:val="TM2"/>
    <w:rsid w:val="001D058F"/>
  </w:style>
  <w:style w:type="paragraph" w:styleId="TM4">
    <w:name w:val="toc 4"/>
    <w:basedOn w:val="TM3"/>
    <w:rsid w:val="001D058F"/>
  </w:style>
  <w:style w:type="paragraph" w:styleId="TM5">
    <w:name w:val="toc 5"/>
    <w:basedOn w:val="TM4"/>
    <w:rsid w:val="001D058F"/>
  </w:style>
  <w:style w:type="paragraph" w:styleId="TM6">
    <w:name w:val="toc 6"/>
    <w:basedOn w:val="TM4"/>
    <w:rsid w:val="001D058F"/>
  </w:style>
  <w:style w:type="paragraph" w:styleId="TM7">
    <w:name w:val="toc 7"/>
    <w:basedOn w:val="TM4"/>
    <w:rsid w:val="001D058F"/>
  </w:style>
  <w:style w:type="paragraph" w:styleId="TM8">
    <w:name w:val="toc 8"/>
    <w:basedOn w:val="TM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Titre1"/>
    <w:rsid w:val="001D058F"/>
    <w:rPr>
      <w:b/>
    </w:rPr>
  </w:style>
  <w:style w:type="paragraph" w:customStyle="1" w:styleId="Tabletext">
    <w:name w:val="Table_text"/>
    <w:basedOn w:val="Normal"/>
    <w:link w:val="TabletextChar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link w:val="NoteChar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Policepardfau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Titre1"/>
    <w:next w:val="Normal"/>
    <w:qFormat/>
    <w:rsid w:val="00EF71B6"/>
  </w:style>
  <w:style w:type="paragraph" w:customStyle="1" w:styleId="Methodheading2">
    <w:name w:val="Method_heading2"/>
    <w:basedOn w:val="Titre2"/>
    <w:next w:val="Normal"/>
    <w:qFormat/>
    <w:rsid w:val="00EF71B6"/>
  </w:style>
  <w:style w:type="paragraph" w:customStyle="1" w:styleId="Methodheading3">
    <w:name w:val="Method_heading3"/>
    <w:basedOn w:val="Titre3"/>
    <w:next w:val="Normal"/>
    <w:qFormat/>
    <w:rsid w:val="00EF71B6"/>
  </w:style>
  <w:style w:type="paragraph" w:customStyle="1" w:styleId="Methodheading4">
    <w:name w:val="Method_heading4"/>
    <w:basedOn w:val="Titre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Policepardfaut"/>
    <w:rsid w:val="009B463A"/>
  </w:style>
  <w:style w:type="character" w:customStyle="1" w:styleId="ArtrefBold">
    <w:name w:val="Art_ref +  Bold"/>
    <w:basedOn w:val="Artref"/>
    <w:rsid w:val="009B463A"/>
    <w:rPr>
      <w:b/>
      <w:color w:val="auto"/>
    </w:rPr>
  </w:style>
  <w:style w:type="character" w:customStyle="1" w:styleId="ArtrefBold0">
    <w:name w:val="Art_ref + Bold"/>
    <w:basedOn w:val="Artref"/>
    <w:rsid w:val="009B463A"/>
    <w:rPr>
      <w:b/>
      <w:bCs/>
      <w:color w:val="auto"/>
    </w:rPr>
  </w:style>
  <w:style w:type="character" w:customStyle="1" w:styleId="ApprefBold">
    <w:name w:val="App_ref +  Bold"/>
    <w:basedOn w:val="Policepardfaut"/>
    <w:rsid w:val="009B463A"/>
    <w:rPr>
      <w:b/>
      <w:color w:val="auto"/>
    </w:rPr>
  </w:style>
  <w:style w:type="paragraph" w:styleId="Paragraphedeliste">
    <w:name w:val="List Paragraph"/>
    <w:basedOn w:val="Normal"/>
    <w:uiPriority w:val="34"/>
    <w:qFormat/>
    <w:rsid w:val="0005631B"/>
    <w:pPr>
      <w:ind w:left="720"/>
      <w:contextualSpacing/>
    </w:pPr>
  </w:style>
  <w:style w:type="paragraph" w:styleId="Rvision">
    <w:name w:val="Revision"/>
    <w:hidden/>
    <w:uiPriority w:val="99"/>
    <w:semiHidden/>
    <w:rsid w:val="00197B7D"/>
    <w:rPr>
      <w:rFonts w:ascii="Times New Roman" w:hAnsi="Times New Roman"/>
      <w:sz w:val="24"/>
      <w:lang w:val="en-GB" w:eastAsia="en-US"/>
    </w:rPr>
  </w:style>
  <w:style w:type="character" w:customStyle="1" w:styleId="NoteChar">
    <w:name w:val="Note Char"/>
    <w:basedOn w:val="Policepardfaut"/>
    <w:link w:val="Note"/>
    <w:qFormat/>
    <w:locked/>
    <w:rsid w:val="00B120BA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qFormat/>
    <w:locked/>
    <w:rsid w:val="00746609"/>
    <w:rPr>
      <w:rFonts w:ascii="Times New Roman" w:hAnsi="Times New Roman"/>
      <w:lang w:val="en-GB" w:eastAsia="en-US"/>
    </w:rPr>
  </w:style>
  <w:style w:type="paragraph" w:customStyle="1" w:styleId="ECCBulletsLv1">
    <w:name w:val="ECC Bullets Lv1"/>
    <w:basedOn w:val="Normal"/>
    <w:qFormat/>
    <w:rsid w:val="00634DE0"/>
    <w:pPr>
      <w:numPr>
        <w:numId w:val="4"/>
      </w:numPr>
      <w:tabs>
        <w:tab w:val="clear" w:pos="1134"/>
        <w:tab w:val="clear" w:pos="1871"/>
        <w:tab w:val="clear" w:pos="2268"/>
        <w:tab w:val="left" w:pos="340"/>
      </w:tabs>
      <w:overflowPunct/>
      <w:autoSpaceDE/>
      <w:autoSpaceDN/>
      <w:adjustRightInd/>
      <w:spacing w:before="60" w:line="288" w:lineRule="auto"/>
      <w:contextualSpacing/>
      <w:jc w:val="both"/>
      <w:textAlignment w:val="auto"/>
    </w:pPr>
    <w:rPr>
      <w:rFonts w:ascii="Arial" w:eastAsia="Calibri" w:hAnsi="Arial"/>
      <w:sz w:val="20"/>
      <w:szCs w:val="22"/>
    </w:rPr>
  </w:style>
  <w:style w:type="paragraph" w:customStyle="1" w:styleId="ECCLetterHead">
    <w:name w:val="ECC Letter Head"/>
    <w:basedOn w:val="Normal"/>
    <w:link w:val="ECCLetterHeadZchn"/>
    <w:qFormat/>
    <w:rsid w:val="00634DE0"/>
    <w:pPr>
      <w:tabs>
        <w:tab w:val="clear" w:pos="1134"/>
        <w:tab w:val="clear" w:pos="1871"/>
        <w:tab w:val="clear" w:pos="2268"/>
        <w:tab w:val="right" w:pos="4750"/>
      </w:tabs>
      <w:overflowPunct/>
      <w:autoSpaceDE/>
      <w:autoSpaceDN/>
      <w:adjustRightInd/>
      <w:spacing w:after="60"/>
      <w:jc w:val="both"/>
      <w:textAlignment w:val="auto"/>
    </w:pPr>
    <w:rPr>
      <w:rFonts w:ascii="Arial" w:eastAsia="Calibri" w:hAnsi="Arial"/>
      <w:b/>
      <w:sz w:val="22"/>
    </w:rPr>
  </w:style>
  <w:style w:type="paragraph" w:customStyle="1" w:styleId="ECCTabletext">
    <w:name w:val="ECC Table text"/>
    <w:basedOn w:val="Normal"/>
    <w:qFormat/>
    <w:rsid w:val="00634DE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60" w:after="60"/>
      <w:jc w:val="both"/>
      <w:textAlignment w:val="auto"/>
    </w:pPr>
    <w:rPr>
      <w:rFonts w:ascii="Arial" w:eastAsia="Calibri" w:hAnsi="Arial"/>
      <w:sz w:val="20"/>
      <w:szCs w:val="22"/>
    </w:rPr>
  </w:style>
  <w:style w:type="character" w:customStyle="1" w:styleId="ECCLetterHeadZchn">
    <w:name w:val="ECC Letter Head Zchn"/>
    <w:basedOn w:val="Policepardfaut"/>
    <w:link w:val="ECCLetterHead"/>
    <w:rsid w:val="00634DE0"/>
    <w:rPr>
      <w:rFonts w:ascii="Arial" w:eastAsia="Calibri" w:hAnsi="Arial"/>
      <w:b/>
      <w:sz w:val="22"/>
      <w:lang w:val="en-GB" w:eastAsia="en-US"/>
    </w:rPr>
  </w:style>
  <w:style w:type="character" w:customStyle="1" w:styleId="ECCParagraph">
    <w:name w:val="ECC Paragraph"/>
    <w:basedOn w:val="Policepardfaut"/>
    <w:uiPriority w:val="1"/>
    <w:qFormat/>
    <w:rsid w:val="00634DE0"/>
    <w:rPr>
      <w:rFonts w:ascii="Arial" w:hAnsi="Arial"/>
      <w:noProof w:val="0"/>
      <w:sz w:val="20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takeholder" ma:contentTypeID="0x010100CAA12C5105342047A1E5FE66CBFB41077D0077CF2320134F6146BF6CC804A6E36883" ma:contentTypeVersion="21" ma:contentTypeDescription="stakeholder communications relating to team or project&#10;" ma:contentTypeScope="" ma:versionID="628023189314dec38fffe3425bf7b3b5">
  <xsd:schema xmlns:xsd="http://www.w3.org/2001/XMLSchema" xmlns:xs="http://www.w3.org/2001/XMLSchema" xmlns:p="http://schemas.microsoft.com/office/2006/metadata/properties" xmlns:ns3="c5f543e3-8063-4253-bd42-47ca496057f8" xmlns:ns4="ba712082-ff81-49c1-a241-94c9f69f8dde" targetNamespace="http://schemas.microsoft.com/office/2006/metadata/properties" ma:root="true" ma:fieldsID="3b2dee9ddd96532a9bba16a8a895ff62" ns3:_="" ns4:_="">
    <xsd:import namespace="c5f543e3-8063-4253-bd42-47ca496057f8"/>
    <xsd:import namespace="ba712082-ff81-49c1-a241-94c9f69f8dde"/>
    <xsd:element name="properties">
      <xsd:complexType>
        <xsd:sequence>
          <xsd:element name="documentManagement">
            <xsd:complexType>
              <xsd:all>
                <xsd:element ref="ns3:Classification" minOccurs="0"/>
                <xsd:element ref="ns3:Attach_x0020_count" minOccurs="0"/>
                <xsd:element ref="ns3:Organisation" minOccurs="0"/>
                <xsd:element ref="ns3:ReceivedTime" minOccurs="0"/>
                <xsd:element ref="ns3:SentOn" minOccurs="0"/>
                <xsd:element ref="ns3:To" minOccurs="0"/>
                <xsd:element ref="ns3:mvFrom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3:TaxCatchAll" minOccurs="0"/>
                <xsd:element ref="ns4:MediaServiceDateTaken" minOccurs="0"/>
                <xsd:element ref="ns4:MediaLengthInSeconds" minOccurs="0"/>
                <xsd:element ref="ns4:Hyperlink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543e3-8063-4253-bd42-47ca496057f8" elementFormDefault="qualified">
    <xsd:import namespace="http://schemas.microsoft.com/office/2006/documentManagement/types"/>
    <xsd:import namespace="http://schemas.microsoft.com/office/infopath/2007/PartnerControls"/>
    <xsd:element name="Classification" ma:index="9" nillable="true" ma:displayName="Information classification" ma:default="PROTECTED" ma:format="Dropdown" ma:internalName="Classification">
      <xsd:simpleType>
        <xsd:restriction base="dms:Choice">
          <xsd:enumeration value="PROTECTED"/>
          <xsd:enumeration value="CONFIDENTIAL"/>
          <xsd:enumeration value="HIGHLY SENSITIVE"/>
        </xsd:restriction>
      </xsd:simpleType>
    </xsd:element>
    <xsd:element name="Attach_x0020_count" ma:index="10" nillable="true" ma:displayName="Attach count" ma:decimals="0" ma:description="Auto-populated by saved email" ma:internalName="Attach_x0020_count">
      <xsd:simpleType>
        <xsd:restriction base="dms:Number"/>
      </xsd:simpleType>
    </xsd:element>
    <xsd:element name="Organisation" ma:index="11" nillable="true" ma:displayName="Organisation" ma:internalName="Organisation">
      <xsd:simpleType>
        <xsd:restriction base="dms:Text">
          <xsd:maxLength value="255"/>
        </xsd:restriction>
      </xsd:simpleType>
    </xsd:element>
    <xsd:element name="ReceivedTime" ma:index="12" nillable="true" ma:displayName="ReceivedTime" ma:description="Auto-populated by saved email" ma:format="DateTime" ma:internalName="ReceivedTime">
      <xsd:simpleType>
        <xsd:restriction base="dms:DateTime"/>
      </xsd:simpleType>
    </xsd:element>
    <xsd:element name="SentOn" ma:index="13" nillable="true" ma:displayName="SentOn" ma:description="Auto-populated by saved email" ma:format="DateTime" ma:internalName="SentOn">
      <xsd:simpleType>
        <xsd:restriction base="dms:DateTime"/>
      </xsd:simpleType>
    </xsd:element>
    <xsd:element name="To" ma:index="14" nillable="true" ma:displayName="To" ma:description="Auto-populated by saved email" ma:internalName="To">
      <xsd:simpleType>
        <xsd:restriction base="dms:Text">
          <xsd:maxLength value="255"/>
        </xsd:restriction>
      </xsd:simpleType>
    </xsd:element>
    <xsd:element name="mvFrom" ma:index="15" nillable="true" ma:displayName="From" ma:description="Auto-populated by saved email" ma:internalName="mvFrom">
      <xsd:simpleType>
        <xsd:restriction base="dms:Text">
          <xsd:maxLength value="255"/>
        </xsd:restriction>
      </xsd:simpleType>
    </xsd:element>
    <xsd:element name="TaxCatchAll" ma:index="26" nillable="true" ma:displayName="Taxonomy Catch All Column" ma:hidden="true" ma:list="{d18027b6-3a67-4944-b8bc-eee15205d084}" ma:internalName="TaxCatchAll" ma:showField="CatchAllData" ma:web="3941dbea-0bfa-4292-92e1-a3e0956064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12082-ff81-49c1-a241-94c9f69f8d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069ab6e-cbb1-4306-ad7e-01a48c91ef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Hyperlink" ma:index="29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3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 xmlns="c5f543e3-8063-4253-bd42-47ca496057f8" xsi:nil="true"/>
    <Attach_x0020_count xmlns="c5f543e3-8063-4253-bd42-47ca496057f8" xsi:nil="true"/>
    <TaxCatchAll xmlns="c5f543e3-8063-4253-bd42-47ca496057f8" xsi:nil="true"/>
    <Organisation xmlns="c5f543e3-8063-4253-bd42-47ca496057f8" xsi:nil="true"/>
    <Classification xmlns="c5f543e3-8063-4253-bd42-47ca496057f8">PROTECTED</Classification>
    <SentOn xmlns="c5f543e3-8063-4253-bd42-47ca496057f8" xsi:nil="true"/>
    <ReceivedTime xmlns="c5f543e3-8063-4253-bd42-47ca496057f8" xsi:nil="true"/>
    <mvFrom xmlns="c5f543e3-8063-4253-bd42-47ca496057f8" xsi:nil="true"/>
    <Hyperlink xmlns="ba712082-ff81-49c1-a241-94c9f69f8dde">
      <Url xsi:nil="true"/>
      <Description xsi:nil="true"/>
    </Hyperlink>
    <lcf76f155ced4ddcb4097134ff3c332f xmlns="ba712082-ff81-49c1-a241-94c9f69f8dde">
      <Terms xmlns="http://schemas.microsoft.com/office/infopath/2007/PartnerControls"/>
    </lcf76f155ced4ddcb4097134ff3c332f>
  </documentManagement>
</p:properties>
</file>

<file path=customXml/item4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9069ab6e-cbb1-4306-ad7e-01a48c91ef8b" ContentTypeId="0x010100CAA12C5105342047A1E5FE66CBFB41077D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6FF7CB-3C74-40C7-9C04-8E78CAF00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f543e3-8063-4253-bd42-47ca496057f8"/>
    <ds:schemaRef ds:uri="ba712082-ff81-49c1-a241-94c9f69f8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D20C73-4FA6-4E23-8770-47D2F31B9F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7B4A69-D07B-4521-B7C4-355F85360B42}">
  <ds:schemaRefs>
    <ds:schemaRef ds:uri="http://schemas.microsoft.com/office/2006/metadata/properties"/>
    <ds:schemaRef ds:uri="http://schemas.microsoft.com/office/infopath/2007/PartnerControls"/>
    <ds:schemaRef ds:uri="c5f543e3-8063-4253-bd42-47ca496057f8"/>
    <ds:schemaRef ds:uri="ba712082-ff81-49c1-a241-94c9f69f8dde"/>
  </ds:schemaRefs>
</ds:datastoreItem>
</file>

<file path=customXml/itemProps4.xml><?xml version="1.0" encoding="utf-8"?>
<ds:datastoreItem xmlns:ds="http://schemas.openxmlformats.org/officeDocument/2006/customXml" ds:itemID="{DFF28F25-13FC-49AF-8334-7A3332B1A15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B88B604-AA5E-43AB-ACDA-842EE07F5828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40C30D0E-08A0-4B4F-9BD9-03BB7A2DC5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1238</Words>
  <Characters>6777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R23-WRC23-C-4807!A13!MSW-E</vt:lpstr>
      <vt:lpstr>R23-WRC23-C-4807!A13!MSW-E</vt:lpstr>
    </vt:vector>
  </TitlesOfParts>
  <Manager>General Secretariat - Pool</Manager>
  <Company>International Telecommunication Union (ITU)</Company>
  <LinksUpToDate>false</LinksUpToDate>
  <CharactersWithSpaces>8000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R23-WRC23-C-4807!A13!MSW-E</dc:title>
  <dc:subject>World Radiocommunication Conference - 2023</dc:subject>
  <dc:creator>manias</dc:creator>
  <cp:keywords>CPI_2022.05.12.01</cp:keywords>
  <dc:description>Uploaded on 2015.07.06</dc:description>
  <cp:lastModifiedBy>OFCOM</cp:lastModifiedBy>
  <cp:revision>2</cp:revision>
  <cp:lastPrinted>2017-02-10T08:23:00Z</cp:lastPrinted>
  <dcterms:created xsi:type="dcterms:W3CDTF">2023-09-26T07:17:00Z</dcterms:created>
  <dcterms:modified xsi:type="dcterms:W3CDTF">2023-09-26T07:17:00Z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0x010100CAA12C5105342047A1E5FE66CBFB41077D0077CF2320134F6146BF6CC804A6E36883</vt:lpwstr>
  </property>
  <property fmtid="{D5CDD505-2E9C-101B-9397-08002B2CF9AE}" pid="10" name="_dlc_DocIdItemGuid">
    <vt:lpwstr>e3f51d54-8436-4404-bce8-bbffce89a1d7</vt:lpwstr>
  </property>
  <property fmtid="{D5CDD505-2E9C-101B-9397-08002B2CF9AE}" pid="11" name="MSIP_Label_5a50d26f-5c2c-4137-8396-1b24eb24286c_Enabled">
    <vt:lpwstr>true</vt:lpwstr>
  </property>
  <property fmtid="{D5CDD505-2E9C-101B-9397-08002B2CF9AE}" pid="12" name="MSIP_Label_5a50d26f-5c2c-4137-8396-1b24eb24286c_SetDate">
    <vt:lpwstr>2023-08-24T13:22:35Z</vt:lpwstr>
  </property>
  <property fmtid="{D5CDD505-2E9C-101B-9397-08002B2CF9AE}" pid="13" name="MSIP_Label_5a50d26f-5c2c-4137-8396-1b24eb24286c_Method">
    <vt:lpwstr>Privileged</vt:lpwstr>
  </property>
  <property fmtid="{D5CDD505-2E9C-101B-9397-08002B2CF9AE}" pid="14" name="MSIP_Label_5a50d26f-5c2c-4137-8396-1b24eb24286c_Name">
    <vt:lpwstr>5a50d26f-5c2c-4137-8396-1b24eb24286c</vt:lpwstr>
  </property>
  <property fmtid="{D5CDD505-2E9C-101B-9397-08002B2CF9AE}" pid="15" name="MSIP_Label_5a50d26f-5c2c-4137-8396-1b24eb24286c_SiteId">
    <vt:lpwstr>0af648de-310c-4068-8ae4-f9418bae24cc</vt:lpwstr>
  </property>
  <property fmtid="{D5CDD505-2E9C-101B-9397-08002B2CF9AE}" pid="16" name="MSIP_Label_5a50d26f-5c2c-4137-8396-1b24eb24286c_ActionId">
    <vt:lpwstr>57d4dfe0-aba1-4fcd-b20e-fa613563dce7</vt:lpwstr>
  </property>
  <property fmtid="{D5CDD505-2E9C-101B-9397-08002B2CF9AE}" pid="17" name="MSIP_Label_5a50d26f-5c2c-4137-8396-1b24eb24286c_ContentBits">
    <vt:lpwstr>0</vt:lpwstr>
  </property>
  <property fmtid="{D5CDD505-2E9C-101B-9397-08002B2CF9AE}" pid="18" name="MediaServiceImageTags">
    <vt:lpwstr/>
  </property>
</Properties>
</file>