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09955DD2" w14:textId="77777777" w:rsidTr="00125B14">
        <w:trPr>
          <w:trHeight w:val="947"/>
        </w:trPr>
        <w:tc>
          <w:tcPr>
            <w:tcW w:w="9628" w:type="dxa"/>
            <w:shd w:val="clear" w:color="auto" w:fill="auto"/>
          </w:tcPr>
          <w:p w14:paraId="4E747888" w14:textId="41D2FDA8" w:rsidR="00181F87" w:rsidRDefault="00E6332E" w:rsidP="00D20538">
            <w:pPr>
              <w:pStyle w:val="Overskrift1"/>
            </w:pPr>
            <w:r>
              <w:t xml:space="preserve"> </w:t>
            </w:r>
          </w:p>
          <w:p w14:paraId="64821D5C" w14:textId="063C5B2C" w:rsidR="004008DD" w:rsidRPr="00125B14" w:rsidRDefault="00181F87" w:rsidP="00D20538">
            <w:pPr>
              <w:pStyle w:val="Overskrift1"/>
            </w:pPr>
            <w:r>
              <w:t xml:space="preserve">3.4 </w:t>
            </w:r>
            <w:r w:rsidR="00D20538">
              <w:t>Tilsynsrapport og offentliggørelse af u</w:t>
            </w:r>
            <w:r w:rsidR="00E6332E">
              <w:t xml:space="preserve">dvalgte oplysninger </w:t>
            </w:r>
          </w:p>
          <w:p w14:paraId="6EAD4DFA" w14:textId="77777777" w:rsidR="004008DD" w:rsidRDefault="004008DD" w:rsidP="002534E3"/>
        </w:tc>
      </w:tr>
      <w:tr w:rsidR="004008DD" w14:paraId="177E838F" w14:textId="77777777" w:rsidTr="00125B14">
        <w:tc>
          <w:tcPr>
            <w:tcW w:w="9628" w:type="dxa"/>
            <w:shd w:val="clear" w:color="auto" w:fill="auto"/>
          </w:tcPr>
          <w:p w14:paraId="7370E13D" w14:textId="3E554359" w:rsidR="00FD6A41" w:rsidRDefault="00FD6A41" w:rsidP="00457D36">
            <w:pPr>
              <w:pStyle w:val="Underoverskrift"/>
              <w:rPr>
                <w:b w:val="0"/>
              </w:rPr>
            </w:pPr>
          </w:p>
          <w:p w14:paraId="71DAEFF3" w14:textId="3CC741FD" w:rsidR="00997EBC" w:rsidRDefault="002F459F" w:rsidP="00457D36">
            <w:pPr>
              <w:pStyle w:val="Underoverskrift"/>
              <w:rPr>
                <w:b w:val="0"/>
              </w:rPr>
            </w:pPr>
            <w:r>
              <w:rPr>
                <w:b w:val="0"/>
              </w:rPr>
              <w:t xml:space="preserve">Miljøtilsynsbekendtgørelsen stiller krav om, at </w:t>
            </w:r>
            <w:r w:rsidR="00997EBC">
              <w:rPr>
                <w:b w:val="0"/>
              </w:rPr>
              <w:t>tilsynsmyndigheden</w:t>
            </w:r>
            <w:r w:rsidR="006C23E2">
              <w:rPr>
                <w:b w:val="0"/>
              </w:rPr>
              <w:t>,</w:t>
            </w:r>
            <w:r>
              <w:rPr>
                <w:b w:val="0"/>
              </w:rPr>
              <w:t xml:space="preserve"> </w:t>
            </w:r>
            <w:r w:rsidR="004E52C8">
              <w:rPr>
                <w:b w:val="0"/>
              </w:rPr>
              <w:t xml:space="preserve">efter hvert </w:t>
            </w:r>
            <w:r w:rsidR="004E52C8" w:rsidRPr="00DB2454">
              <w:rPr>
                <w:b w:val="0"/>
                <w:color w:val="00B050"/>
              </w:rPr>
              <w:t xml:space="preserve">fysisk </w:t>
            </w:r>
            <w:r w:rsidR="004E52C8" w:rsidRPr="001C3A37">
              <w:rPr>
                <w:b w:val="0"/>
                <w:color w:val="00B050"/>
              </w:rPr>
              <w:t>tilsyn</w:t>
            </w:r>
            <w:r w:rsidR="001C3A37" w:rsidRPr="001C3A37">
              <w:rPr>
                <w:b w:val="0"/>
                <w:color w:val="00B050"/>
              </w:rPr>
              <w:t xml:space="preserve"> (4.1.7)</w:t>
            </w:r>
            <w:r w:rsidR="004E52C8" w:rsidRPr="001C3A37">
              <w:rPr>
                <w:b w:val="0"/>
                <w:color w:val="00B050"/>
              </w:rPr>
              <w:t xml:space="preserve"> </w:t>
            </w:r>
            <w:r w:rsidR="00E258DD">
              <w:rPr>
                <w:b w:val="0"/>
              </w:rPr>
              <w:t>på en virksomhed eller et husdyrbrug m.v.</w:t>
            </w:r>
            <w:r w:rsidR="00FB252C">
              <w:rPr>
                <w:b w:val="0"/>
              </w:rPr>
              <w:t>, som er</w:t>
            </w:r>
            <w:r w:rsidR="00E258DD">
              <w:rPr>
                <w:b w:val="0"/>
              </w:rPr>
              <w:t xml:space="preserve"> </w:t>
            </w:r>
            <w:r w:rsidR="00E258DD" w:rsidRPr="00085A9B">
              <w:rPr>
                <w:b w:val="0"/>
                <w:color w:val="00B050"/>
              </w:rPr>
              <w:t>omfattet af kravet om regelmæssige tilsyn</w:t>
            </w:r>
            <w:r w:rsidR="00FF3F37">
              <w:rPr>
                <w:b w:val="0"/>
                <w:color w:val="00B050"/>
              </w:rPr>
              <w:t xml:space="preserve"> (4.3.1)</w:t>
            </w:r>
            <w:r w:rsidR="00E258DD">
              <w:rPr>
                <w:b w:val="0"/>
              </w:rPr>
              <w:t xml:space="preserve">, </w:t>
            </w:r>
            <w:r>
              <w:rPr>
                <w:b w:val="0"/>
              </w:rPr>
              <w:t xml:space="preserve">skal </w:t>
            </w:r>
            <w:r w:rsidR="005838A7">
              <w:rPr>
                <w:b w:val="0"/>
              </w:rPr>
              <w:t xml:space="preserve">udarbejde en </w:t>
            </w:r>
            <w:r w:rsidR="005838A7" w:rsidRPr="00D20538">
              <w:rPr>
                <w:b w:val="0"/>
              </w:rPr>
              <w:t>tilsynsrapport</w:t>
            </w:r>
            <w:r w:rsidR="005838A7">
              <w:rPr>
                <w:b w:val="0"/>
              </w:rPr>
              <w:t xml:space="preserve"> </w:t>
            </w:r>
            <w:r w:rsidR="00997EBC">
              <w:rPr>
                <w:b w:val="0"/>
              </w:rPr>
              <w:t>og</w:t>
            </w:r>
            <w:r w:rsidR="005838A7">
              <w:rPr>
                <w:b w:val="0"/>
              </w:rPr>
              <w:t xml:space="preserve"> </w:t>
            </w:r>
            <w:r>
              <w:rPr>
                <w:b w:val="0"/>
              </w:rPr>
              <w:t>offentliggøre en række udvalgte opl</w:t>
            </w:r>
            <w:r w:rsidR="00F16596">
              <w:rPr>
                <w:b w:val="0"/>
              </w:rPr>
              <w:t>ysninger fra tilsynsrapporten</w:t>
            </w:r>
            <w:r w:rsidR="00CF1C63">
              <w:rPr>
                <w:b w:val="0"/>
              </w:rPr>
              <w:t xml:space="preserve"> på </w:t>
            </w:r>
            <w:hyperlink r:id="rId8" w:history="1">
              <w:r w:rsidR="00CF1C63" w:rsidRPr="006C23E2">
                <w:rPr>
                  <w:rStyle w:val="Hyperlink"/>
                  <w:b w:val="0"/>
                </w:rPr>
                <w:t>DMA</w:t>
              </w:r>
            </w:hyperlink>
            <w:r w:rsidR="00F16596">
              <w:rPr>
                <w:b w:val="0"/>
              </w:rPr>
              <w:t xml:space="preserve">. </w:t>
            </w:r>
            <w:r w:rsidR="00421C81">
              <w:rPr>
                <w:b w:val="0"/>
              </w:rPr>
              <w:t>Oplysningerne</w:t>
            </w:r>
            <w:r w:rsidR="005838A7">
              <w:rPr>
                <w:b w:val="0"/>
              </w:rPr>
              <w:t>, d</w:t>
            </w:r>
            <w:r w:rsidR="00997EBC">
              <w:rPr>
                <w:b w:val="0"/>
              </w:rPr>
              <w:t>u</w:t>
            </w:r>
            <w:r w:rsidR="005838A7">
              <w:rPr>
                <w:b w:val="0"/>
              </w:rPr>
              <w:t xml:space="preserve"> skal offentliggøre,</w:t>
            </w:r>
            <w:r w:rsidR="00421C81">
              <w:rPr>
                <w:b w:val="0"/>
              </w:rPr>
              <w:t xml:space="preserve"> skal</w:t>
            </w:r>
            <w:r w:rsidR="00997EBC">
              <w:rPr>
                <w:b w:val="0"/>
              </w:rPr>
              <w:t xml:space="preserve"> vise</w:t>
            </w:r>
            <w:r w:rsidR="00421C81" w:rsidRPr="00FD5F1A">
              <w:rPr>
                <w:b w:val="0"/>
              </w:rPr>
              <w:t xml:space="preserve">, om virksomheden eller husdyrbruget </w:t>
            </w:r>
            <w:r w:rsidR="00421C81">
              <w:rPr>
                <w:b w:val="0"/>
              </w:rPr>
              <w:t>m.v.</w:t>
            </w:r>
            <w:r w:rsidR="00421C81" w:rsidRPr="00315D17">
              <w:rPr>
                <w:b w:val="0"/>
              </w:rPr>
              <w:t xml:space="preserve"> overholder de love, </w:t>
            </w:r>
            <w:r w:rsidR="00421C81" w:rsidRPr="00A80534">
              <w:rPr>
                <w:b w:val="0"/>
              </w:rPr>
              <w:t>regler</w:t>
            </w:r>
            <w:r w:rsidR="00421C81" w:rsidRPr="00315D17">
              <w:rPr>
                <w:b w:val="0"/>
              </w:rPr>
              <w:t xml:space="preserve"> og afgørelser, der er </w:t>
            </w:r>
            <w:r w:rsidR="005838A7">
              <w:rPr>
                <w:b w:val="0"/>
              </w:rPr>
              <w:t>ført tilsyn med</w:t>
            </w:r>
            <w:r w:rsidR="00421C81" w:rsidRPr="00315D17">
              <w:rPr>
                <w:b w:val="0"/>
              </w:rPr>
              <w:t>.</w:t>
            </w:r>
            <w:r w:rsidR="005838A7">
              <w:rPr>
                <w:b w:val="0"/>
              </w:rPr>
              <w:t xml:space="preserve"> </w:t>
            </w:r>
          </w:p>
          <w:p w14:paraId="5FE6C5D7" w14:textId="74B5DEA4" w:rsidR="002F459F" w:rsidRDefault="002F459F" w:rsidP="00457D36">
            <w:pPr>
              <w:pStyle w:val="Underoverskrift"/>
              <w:rPr>
                <w:b w:val="0"/>
              </w:rPr>
            </w:pPr>
          </w:p>
          <w:p w14:paraId="122F90E5" w14:textId="66CAAA6C" w:rsidR="00997EBC" w:rsidRDefault="00997EBC" w:rsidP="00457D36">
            <w:pPr>
              <w:pStyle w:val="Underoverskrift"/>
              <w:rPr>
                <w:b w:val="0"/>
              </w:rPr>
            </w:pPr>
            <w:r>
              <w:rPr>
                <w:b w:val="0"/>
              </w:rPr>
              <w:t>Du skal være opmærksom på, at kravet om offentliggørelse af tilsynsoplysninger også gælde</w:t>
            </w:r>
            <w:r w:rsidR="001F1B75">
              <w:rPr>
                <w:b w:val="0"/>
              </w:rPr>
              <w:t>r</w:t>
            </w:r>
            <w:r>
              <w:rPr>
                <w:b w:val="0"/>
              </w:rPr>
              <w:t xml:space="preserve"> de virksomheder, som fx er undtaget </w:t>
            </w:r>
            <w:r w:rsidR="003E395D">
              <w:rPr>
                <w:b w:val="0"/>
              </w:rPr>
              <w:t xml:space="preserve">kravet om </w:t>
            </w:r>
            <w:r w:rsidR="00114906">
              <w:rPr>
                <w:b w:val="0"/>
              </w:rPr>
              <w:t>miljø</w:t>
            </w:r>
            <w:r>
              <w:rPr>
                <w:b w:val="0"/>
              </w:rPr>
              <w:t>risikovurder</w:t>
            </w:r>
            <w:r w:rsidR="00114906">
              <w:rPr>
                <w:b w:val="0"/>
              </w:rPr>
              <w:t>ing</w:t>
            </w:r>
            <w:r>
              <w:rPr>
                <w:b w:val="0"/>
              </w:rPr>
              <w:t>. Dambrug er eksempelvis undtaget kravet om en risikovurdering, men er omfattet af kravet om regelmæssige tilsyn og skal derfor overholde øvrige krav i miljøtilsynsbekendtgørelsen.</w:t>
            </w:r>
          </w:p>
          <w:p w14:paraId="48CD5390" w14:textId="77777777" w:rsidR="00997EBC" w:rsidRDefault="00997EBC" w:rsidP="00457D36">
            <w:pPr>
              <w:pStyle w:val="Underoverskrift"/>
              <w:rPr>
                <w:b w:val="0"/>
              </w:rPr>
            </w:pPr>
          </w:p>
          <w:p w14:paraId="7A054FCD" w14:textId="25A3DB0A" w:rsidR="00DB2454" w:rsidRDefault="00457D36" w:rsidP="00D20538">
            <w:pPr>
              <w:pStyle w:val="Kommentartekst"/>
              <w:rPr>
                <w:rFonts w:ascii="Times New Roman" w:hAnsi="Times New Roman" w:cs="Times New Roman"/>
                <w:sz w:val="24"/>
                <w:szCs w:val="24"/>
              </w:rPr>
            </w:pPr>
            <w:r w:rsidRPr="002A6D0B">
              <w:rPr>
                <w:rFonts w:ascii="Times New Roman" w:hAnsi="Times New Roman" w:cs="Times New Roman"/>
                <w:sz w:val="24"/>
                <w:szCs w:val="24"/>
              </w:rPr>
              <w:t xml:space="preserve">En </w:t>
            </w:r>
            <w:r w:rsidRPr="00DB2454">
              <w:rPr>
                <w:rFonts w:ascii="Times New Roman" w:hAnsi="Times New Roman" w:cs="Times New Roman"/>
                <w:sz w:val="24"/>
                <w:szCs w:val="24"/>
              </w:rPr>
              <w:t>tilsynsrapport</w:t>
            </w:r>
            <w:r w:rsidRPr="002A6D0B">
              <w:rPr>
                <w:rFonts w:ascii="Times New Roman" w:hAnsi="Times New Roman" w:cs="Times New Roman"/>
                <w:sz w:val="24"/>
                <w:szCs w:val="24"/>
              </w:rPr>
              <w:t xml:space="preserve"> er et skriftligt dokument udarbejdet af tilsynsmyndigheden. </w:t>
            </w:r>
            <w:r w:rsidR="00F16596" w:rsidRPr="002A6D0B">
              <w:rPr>
                <w:rFonts w:ascii="Times New Roman" w:hAnsi="Times New Roman" w:cs="Times New Roman"/>
                <w:sz w:val="24"/>
                <w:szCs w:val="24"/>
              </w:rPr>
              <w:t>Tilsyns</w:t>
            </w:r>
            <w:r w:rsidRPr="002A6D0B">
              <w:rPr>
                <w:rFonts w:ascii="Times New Roman" w:hAnsi="Times New Roman" w:cs="Times New Roman"/>
                <w:sz w:val="24"/>
                <w:szCs w:val="24"/>
              </w:rPr>
              <w:t xml:space="preserve">rapporten </w:t>
            </w:r>
            <w:r w:rsidR="00F16596" w:rsidRPr="002A6D0B">
              <w:rPr>
                <w:rFonts w:ascii="Times New Roman" w:hAnsi="Times New Roman" w:cs="Times New Roman"/>
                <w:sz w:val="24"/>
                <w:szCs w:val="24"/>
              </w:rPr>
              <w:t>indeholder en beskrivelse af observationer og konklusioner</w:t>
            </w:r>
            <w:r w:rsidR="004E52C8" w:rsidRPr="002A6D0B">
              <w:rPr>
                <w:rFonts w:ascii="Times New Roman" w:hAnsi="Times New Roman" w:cs="Times New Roman"/>
                <w:sz w:val="24"/>
                <w:szCs w:val="24"/>
              </w:rPr>
              <w:t xml:space="preserve"> fra tilsynet, </w:t>
            </w:r>
            <w:r w:rsidRPr="002A6D0B">
              <w:rPr>
                <w:rFonts w:ascii="Times New Roman" w:hAnsi="Times New Roman" w:cs="Times New Roman"/>
                <w:sz w:val="24"/>
                <w:szCs w:val="24"/>
              </w:rPr>
              <w:t xml:space="preserve">så </w:t>
            </w:r>
            <w:r w:rsidR="00997EBC">
              <w:rPr>
                <w:rFonts w:ascii="Times New Roman" w:hAnsi="Times New Roman" w:cs="Times New Roman"/>
                <w:sz w:val="24"/>
                <w:szCs w:val="24"/>
              </w:rPr>
              <w:t>både tilsynsmyndighed og virksomheden/husdyrbruget</w:t>
            </w:r>
            <w:r w:rsidRPr="002A6D0B">
              <w:rPr>
                <w:rFonts w:ascii="Times New Roman" w:hAnsi="Times New Roman" w:cs="Times New Roman"/>
                <w:sz w:val="24"/>
                <w:szCs w:val="24"/>
              </w:rPr>
              <w:t xml:space="preserve"> efterfølgende kan følge op</w:t>
            </w:r>
            <w:r w:rsidR="005838A7" w:rsidRPr="002A6D0B">
              <w:rPr>
                <w:rFonts w:ascii="Times New Roman" w:hAnsi="Times New Roman" w:cs="Times New Roman"/>
                <w:sz w:val="24"/>
                <w:szCs w:val="24"/>
              </w:rPr>
              <w:t xml:space="preserve"> på</w:t>
            </w:r>
            <w:r w:rsidRPr="002A6D0B">
              <w:rPr>
                <w:rFonts w:ascii="Times New Roman" w:hAnsi="Times New Roman" w:cs="Times New Roman"/>
                <w:sz w:val="24"/>
                <w:szCs w:val="24"/>
              </w:rPr>
              <w:t xml:space="preserve"> nødvendige forhold.</w:t>
            </w:r>
            <w:r w:rsidR="003B6D6F" w:rsidRPr="002A6D0B">
              <w:rPr>
                <w:rFonts w:ascii="Times New Roman" w:hAnsi="Times New Roman" w:cs="Times New Roman"/>
                <w:sz w:val="24"/>
                <w:szCs w:val="24"/>
              </w:rPr>
              <w:t xml:space="preserve"> </w:t>
            </w:r>
          </w:p>
          <w:p w14:paraId="06B72F31" w14:textId="189FAF00" w:rsidR="000E2A09" w:rsidRDefault="00457D36" w:rsidP="002534E3">
            <w:pPr>
              <w:pStyle w:val="Underoverskrift"/>
              <w:rPr>
                <w:b w:val="0"/>
              </w:rPr>
            </w:pPr>
            <w:r>
              <w:rPr>
                <w:b w:val="0"/>
              </w:rPr>
              <w:t xml:space="preserve">Dette afsnit omhandler kravene i </w:t>
            </w:r>
            <w:r w:rsidR="00DB2454">
              <w:rPr>
                <w:b w:val="0"/>
              </w:rPr>
              <w:t>miljøtilsyns</w:t>
            </w:r>
            <w:r w:rsidR="007601ED">
              <w:rPr>
                <w:b w:val="0"/>
              </w:rPr>
              <w:t xml:space="preserve">bekendtgørelsens </w:t>
            </w:r>
            <w:r w:rsidR="00E258DD">
              <w:rPr>
                <w:b w:val="0"/>
              </w:rPr>
              <w:t>§</w:t>
            </w:r>
            <w:r w:rsidR="000626D3">
              <w:rPr>
                <w:b w:val="0"/>
              </w:rPr>
              <w:t>§</w:t>
            </w:r>
            <w:r w:rsidR="00E258DD">
              <w:rPr>
                <w:b w:val="0"/>
              </w:rPr>
              <w:t xml:space="preserve"> 11 - 13 (</w:t>
            </w:r>
            <w:r>
              <w:rPr>
                <w:b w:val="0"/>
              </w:rPr>
              <w:t>kapitel 3</w:t>
            </w:r>
            <w:r w:rsidR="00E258DD">
              <w:rPr>
                <w:b w:val="0"/>
              </w:rPr>
              <w:t>)</w:t>
            </w:r>
            <w:r w:rsidR="00DB2454">
              <w:rPr>
                <w:b w:val="0"/>
              </w:rPr>
              <w:t>.</w:t>
            </w:r>
            <w:r>
              <w:rPr>
                <w:b w:val="0"/>
              </w:rPr>
              <w:t xml:space="preserve"> </w:t>
            </w:r>
            <w:r w:rsidR="00DB2454">
              <w:rPr>
                <w:b w:val="0"/>
              </w:rPr>
              <w:t xml:space="preserve">I kapitel 3 </w:t>
            </w:r>
            <w:r w:rsidR="001C3A37">
              <w:rPr>
                <w:b w:val="0"/>
              </w:rPr>
              <w:t xml:space="preserve">er </w:t>
            </w:r>
            <w:r w:rsidR="00CF1C63">
              <w:rPr>
                <w:b w:val="0"/>
              </w:rPr>
              <w:t xml:space="preserve">der </w:t>
            </w:r>
            <w:r w:rsidR="00DB2454">
              <w:rPr>
                <w:b w:val="0"/>
              </w:rPr>
              <w:t>fasts</w:t>
            </w:r>
            <w:r w:rsidR="001C3A37">
              <w:rPr>
                <w:b w:val="0"/>
              </w:rPr>
              <w:t>a</w:t>
            </w:r>
            <w:r w:rsidR="00DB2454">
              <w:rPr>
                <w:b w:val="0"/>
              </w:rPr>
              <w:t>t</w:t>
            </w:r>
            <w:r w:rsidR="001C3A37">
              <w:rPr>
                <w:b w:val="0"/>
              </w:rPr>
              <w:t xml:space="preserve"> krav om</w:t>
            </w:r>
            <w:r w:rsidR="00DB2454">
              <w:rPr>
                <w:b w:val="0"/>
              </w:rPr>
              <w:t xml:space="preserve">, </w:t>
            </w:r>
            <w:r w:rsidR="00071AC6">
              <w:rPr>
                <w:b w:val="0"/>
              </w:rPr>
              <w:t>hvilke</w:t>
            </w:r>
            <w:r w:rsidRPr="00457D36">
              <w:rPr>
                <w:b w:val="0"/>
              </w:rPr>
              <w:t xml:space="preserve"> oplysninger fra tilsynsrapporten</w:t>
            </w:r>
            <w:r>
              <w:rPr>
                <w:b w:val="0"/>
              </w:rPr>
              <w:t xml:space="preserve"> </w:t>
            </w:r>
            <w:r w:rsidR="00071AC6">
              <w:rPr>
                <w:b w:val="0"/>
              </w:rPr>
              <w:t>du som minimum</w:t>
            </w:r>
            <w:r w:rsidRPr="00457D36">
              <w:rPr>
                <w:b w:val="0"/>
              </w:rPr>
              <w:t xml:space="preserve"> skal </w:t>
            </w:r>
            <w:r>
              <w:rPr>
                <w:b w:val="0"/>
              </w:rPr>
              <w:t>offentliggøre</w:t>
            </w:r>
            <w:r w:rsidR="00CF1C63">
              <w:rPr>
                <w:b w:val="0"/>
              </w:rPr>
              <w:t xml:space="preserve"> på </w:t>
            </w:r>
            <w:hyperlink r:id="rId9" w:history="1">
              <w:r w:rsidR="00CF1C63" w:rsidRPr="006C23E2">
                <w:rPr>
                  <w:rStyle w:val="Hyperlink"/>
                  <w:b w:val="0"/>
                </w:rPr>
                <w:t>DMA</w:t>
              </w:r>
            </w:hyperlink>
            <w:r w:rsidR="00CF1C63">
              <w:rPr>
                <w:b w:val="0"/>
              </w:rPr>
              <w:t>. Offentliggørelsen skal ske</w:t>
            </w:r>
            <w:r>
              <w:rPr>
                <w:b w:val="0"/>
              </w:rPr>
              <w:t xml:space="preserve"> senest 4 måneder efter </w:t>
            </w:r>
            <w:r w:rsidR="001E1738">
              <w:rPr>
                <w:b w:val="0"/>
              </w:rPr>
              <w:t xml:space="preserve">et fysisk </w:t>
            </w:r>
            <w:r>
              <w:rPr>
                <w:b w:val="0"/>
              </w:rPr>
              <w:t xml:space="preserve">tilsyn har fundet sted. </w:t>
            </w:r>
          </w:p>
          <w:p w14:paraId="0006D5C7" w14:textId="69DAA097" w:rsidR="000E2A09" w:rsidRDefault="000E2A09" w:rsidP="002534E3">
            <w:pPr>
              <w:pStyle w:val="Underoverskrift"/>
              <w:rPr>
                <w:b w:val="0"/>
              </w:rPr>
            </w:pPr>
          </w:p>
          <w:p w14:paraId="4DC02E98" w14:textId="38FAB2D6" w:rsidR="00C20599" w:rsidRDefault="00C20599" w:rsidP="00C20599">
            <w:pPr>
              <w:pStyle w:val="Underoverskrift"/>
            </w:pPr>
            <w:r>
              <w:t xml:space="preserve">Hvornår skal </w:t>
            </w:r>
            <w:r w:rsidR="007C5BC9">
              <w:t>du</w:t>
            </w:r>
            <w:r w:rsidR="005838A7">
              <w:t xml:space="preserve"> </w:t>
            </w:r>
            <w:r>
              <w:t xml:space="preserve">offentliggøre </w:t>
            </w:r>
            <w:r w:rsidR="007C5BC9">
              <w:t>u</w:t>
            </w:r>
            <w:r>
              <w:t>dvalgte oplysninger fra tilsynet</w:t>
            </w:r>
            <w:r w:rsidR="005838A7">
              <w:t>?</w:t>
            </w:r>
          </w:p>
          <w:p w14:paraId="7A97FAA6" w14:textId="79538EB6" w:rsidR="00C20599" w:rsidRPr="003F60CC" w:rsidRDefault="003E395D" w:rsidP="00C20599">
            <w:r>
              <w:t>E</w:t>
            </w:r>
            <w:r w:rsidR="00FD7CDE" w:rsidRPr="00FD7CDE">
              <w:t xml:space="preserve">fter hvert </w:t>
            </w:r>
            <w:r w:rsidR="00FD7CDE" w:rsidRPr="00FD7CDE">
              <w:rPr>
                <w:color w:val="00B050"/>
              </w:rPr>
              <w:t xml:space="preserve">fysisk </w:t>
            </w:r>
            <w:r w:rsidR="00FD7CDE" w:rsidRPr="00706EC4">
              <w:rPr>
                <w:color w:val="00B050"/>
              </w:rPr>
              <w:t xml:space="preserve">tilsyn </w:t>
            </w:r>
            <w:r w:rsidR="00FD7CDE" w:rsidRPr="003E395D">
              <w:rPr>
                <w:color w:val="00B050"/>
              </w:rPr>
              <w:t xml:space="preserve">(4.1.7) </w:t>
            </w:r>
            <w:r w:rsidR="00FD7CDE" w:rsidRPr="00FD7CDE">
              <w:t>på en virksomhed eller et husdyrbrug m.v.</w:t>
            </w:r>
            <w:r w:rsidR="00FB252C">
              <w:t>, som er</w:t>
            </w:r>
            <w:r w:rsidR="00FD7CDE" w:rsidRPr="00FD7CDE">
              <w:t xml:space="preserve"> </w:t>
            </w:r>
            <w:r w:rsidR="00FD7CDE" w:rsidRPr="00701384">
              <w:rPr>
                <w:color w:val="00B050"/>
              </w:rPr>
              <w:t>omfattet af kravet om regelmæssige tilsyn</w:t>
            </w:r>
            <w:r w:rsidR="001C3A37">
              <w:t xml:space="preserve"> </w:t>
            </w:r>
            <w:r w:rsidR="001C3A37" w:rsidRPr="003E395D">
              <w:rPr>
                <w:color w:val="00B050"/>
              </w:rPr>
              <w:t>(4.3.1)</w:t>
            </w:r>
            <w:r w:rsidR="00FD7CDE">
              <w:t xml:space="preserve">, </w:t>
            </w:r>
            <w:r>
              <w:t xml:space="preserve">skal du </w:t>
            </w:r>
            <w:r w:rsidR="00FD7CDE">
              <w:t>offentliggøre udvalgte oplysninger fra tilsynsrapporten</w:t>
            </w:r>
            <w:r w:rsidR="003F60CC">
              <w:t>.</w:t>
            </w:r>
            <w:r w:rsidR="00C20599" w:rsidRPr="00C53215">
              <w:t xml:space="preserve"> </w:t>
            </w:r>
            <w:r w:rsidR="0066642B">
              <w:t>Kravet om offentliggørelse af oplysningerne</w:t>
            </w:r>
            <w:r w:rsidR="00C20599">
              <w:t xml:space="preserve"> gælder både for planlagte</w:t>
            </w:r>
            <w:r w:rsidR="00741F9A">
              <w:t xml:space="preserve"> </w:t>
            </w:r>
            <w:r w:rsidR="00741F9A" w:rsidRPr="000D0994">
              <w:t>fysiske</w:t>
            </w:r>
            <w:r w:rsidR="00C20599" w:rsidRPr="000D0994">
              <w:t xml:space="preserve"> tilsyn</w:t>
            </w:r>
            <w:r w:rsidR="00C20599" w:rsidRPr="00B34577">
              <w:t xml:space="preserve"> (</w:t>
            </w:r>
            <w:r w:rsidR="00C20599" w:rsidRPr="000D0994">
              <w:t>basistilsyn</w:t>
            </w:r>
            <w:r w:rsidR="00B34577">
              <w:t>,</w:t>
            </w:r>
            <w:r w:rsidR="00C20599" w:rsidRPr="00B34577">
              <w:t xml:space="preserve"> </w:t>
            </w:r>
            <w:r w:rsidR="00C20599" w:rsidRPr="000D0994">
              <w:t>herunder relaterede tilsyn</w:t>
            </w:r>
            <w:r w:rsidR="00CF1C63" w:rsidRPr="000D0994">
              <w:t xml:space="preserve">, </w:t>
            </w:r>
            <w:r w:rsidR="00C20599" w:rsidRPr="000D0994">
              <w:t>prioriterede</w:t>
            </w:r>
            <w:r w:rsidR="00C20599" w:rsidRPr="00B34577">
              <w:t xml:space="preserve"> </w:t>
            </w:r>
            <w:r w:rsidR="00C20599" w:rsidRPr="000D0994">
              <w:t>tilsyn</w:t>
            </w:r>
            <w:r w:rsidR="00741F9A" w:rsidRPr="00B34577">
              <w:t xml:space="preserve"> og</w:t>
            </w:r>
            <w:r w:rsidR="00C20599" w:rsidRPr="000D0994">
              <w:t xml:space="preserve"> kampagnetilsyn</w:t>
            </w:r>
            <w:r w:rsidR="00B34577">
              <w:t>)</w:t>
            </w:r>
            <w:r w:rsidR="00C20599" w:rsidRPr="00B34577">
              <w:t xml:space="preserve"> og </w:t>
            </w:r>
            <w:r w:rsidR="00FB252C" w:rsidRPr="00B34577">
              <w:t xml:space="preserve">for </w:t>
            </w:r>
            <w:r w:rsidR="00C20599" w:rsidRPr="000D0994">
              <w:t>ikke planlagte</w:t>
            </w:r>
            <w:r w:rsidR="00741F9A" w:rsidRPr="000D0994">
              <w:t xml:space="preserve"> fysiske</w:t>
            </w:r>
            <w:r w:rsidR="00C20599" w:rsidRPr="00B34577">
              <w:t xml:space="preserve"> </w:t>
            </w:r>
            <w:r w:rsidR="00C20599" w:rsidRPr="000D0994">
              <w:t>tilsyn</w:t>
            </w:r>
            <w:r w:rsidR="00C20599" w:rsidRPr="00B34577">
              <w:t xml:space="preserve"> (</w:t>
            </w:r>
            <w:r w:rsidR="00C20599" w:rsidRPr="000D0994">
              <w:t>§ 9-tilsyn</w:t>
            </w:r>
            <w:r w:rsidR="001C3A37" w:rsidRPr="000D0994">
              <w:t xml:space="preserve"> </w:t>
            </w:r>
            <w:r w:rsidR="00C20599" w:rsidRPr="000D0994">
              <w:t>og opstartstilsyn</w:t>
            </w:r>
            <w:r w:rsidR="00C20599" w:rsidRPr="00B34577">
              <w:t>)</w:t>
            </w:r>
            <w:r w:rsidR="00CB54E4" w:rsidRPr="00B34577">
              <w:t xml:space="preserve"> -</w:t>
            </w:r>
            <w:r w:rsidR="002F233F" w:rsidRPr="000D0994">
              <w:t xml:space="preserve"> uanset tilsynets omfang</w:t>
            </w:r>
            <w:r w:rsidR="00C20599" w:rsidRPr="000D0994">
              <w:t>.</w:t>
            </w:r>
            <w:r w:rsidR="00B34577">
              <w:t xml:space="preserve"> I afsnit</w:t>
            </w:r>
            <w:r w:rsidR="00706EC4">
              <w:t xml:space="preserve">tet </w:t>
            </w:r>
            <w:r w:rsidR="00706EC4" w:rsidRPr="003E395D">
              <w:rPr>
                <w:color w:val="00B050"/>
              </w:rPr>
              <w:t>"Tilsynskategorier- og typer" (4.1)</w:t>
            </w:r>
            <w:r w:rsidR="00706EC4">
              <w:t xml:space="preserve"> </w:t>
            </w:r>
            <w:r w:rsidR="00B34577">
              <w:t xml:space="preserve">kan du læse mere om de forskellige </w:t>
            </w:r>
            <w:r w:rsidR="00B34577" w:rsidRPr="003E395D">
              <w:t>tilsynskategorier</w:t>
            </w:r>
            <w:r w:rsidR="00706EC4">
              <w:rPr>
                <w:color w:val="00B050"/>
              </w:rPr>
              <w:t>.</w:t>
            </w:r>
            <w:r w:rsidR="00B34577">
              <w:t xml:space="preserve"> </w:t>
            </w:r>
          </w:p>
          <w:p w14:paraId="3377A6E5" w14:textId="0A2B5FD7" w:rsidR="00C20599" w:rsidRDefault="00C20599" w:rsidP="00C20599"/>
          <w:p w14:paraId="183CA6AA" w14:textId="2A93674E" w:rsidR="00FD7CDE" w:rsidRDefault="00701384" w:rsidP="00FD7CDE">
            <w:r>
              <w:t>Du kan læse</w:t>
            </w:r>
            <w:r w:rsidR="00FD7CDE">
              <w:t xml:space="preserve"> mere om offentliggørelse af tilsynsoplysninger i afsnittet </w:t>
            </w:r>
            <w:r w:rsidR="003757DE" w:rsidRPr="003E395D">
              <w:rPr>
                <w:color w:val="00B050"/>
              </w:rPr>
              <w:t>”</w:t>
            </w:r>
            <w:r w:rsidR="006D3122" w:rsidRPr="00414EB8">
              <w:rPr>
                <w:color w:val="00B050"/>
              </w:rPr>
              <w:t>Oplysninger om tilsyn</w:t>
            </w:r>
            <w:r w:rsidR="00706EC4" w:rsidRPr="00414EB8">
              <w:rPr>
                <w:color w:val="00B050"/>
              </w:rPr>
              <w:t>"</w:t>
            </w:r>
            <w:r w:rsidR="00FD7CDE" w:rsidRPr="003E395D">
              <w:rPr>
                <w:color w:val="00B050"/>
              </w:rPr>
              <w:t xml:space="preserve"> (3.5.3) </w:t>
            </w:r>
            <w:r w:rsidR="00FD7CDE">
              <w:t xml:space="preserve">samt i </w:t>
            </w:r>
            <w:r w:rsidR="003B7B9C">
              <w:t xml:space="preserve">afsnittet </w:t>
            </w:r>
            <w:r w:rsidR="004469C6">
              <w:rPr>
                <w:color w:val="00B050"/>
              </w:rPr>
              <w:t>"B</w:t>
            </w:r>
            <w:r w:rsidR="00FD7CDE" w:rsidRPr="003B7B9C">
              <w:rPr>
                <w:color w:val="00B050"/>
              </w:rPr>
              <w:t>egrænsningerne i afgivelse af oplysninger</w:t>
            </w:r>
            <w:r w:rsidR="006D3122" w:rsidRPr="003B7B9C">
              <w:rPr>
                <w:color w:val="00B050"/>
              </w:rPr>
              <w:t xml:space="preserve"> i afsnittet – </w:t>
            </w:r>
            <w:r w:rsidR="003B7B9C">
              <w:rPr>
                <w:color w:val="00B050"/>
              </w:rPr>
              <w:t xml:space="preserve">oplysninger om </w:t>
            </w:r>
            <w:r w:rsidR="003B7B9C" w:rsidRPr="00414EB8">
              <w:rPr>
                <w:color w:val="00B050"/>
              </w:rPr>
              <w:t>tilsyn</w:t>
            </w:r>
            <w:r w:rsidR="003757DE" w:rsidRPr="00414EB8">
              <w:rPr>
                <w:color w:val="00B050"/>
              </w:rPr>
              <w:t>”</w:t>
            </w:r>
            <w:r w:rsidR="00FD7CDE" w:rsidRPr="003E395D">
              <w:rPr>
                <w:color w:val="00B050"/>
              </w:rPr>
              <w:t xml:space="preserve"> (3.7.5</w:t>
            </w:r>
            <w:r w:rsidR="00FD7CDE" w:rsidRPr="00AB0C04">
              <w:rPr>
                <w:color w:val="00B050"/>
              </w:rPr>
              <w:t>)</w:t>
            </w:r>
            <w:r w:rsidR="00FD7CDE" w:rsidRPr="00414EB8">
              <w:t>.</w:t>
            </w:r>
            <w:bookmarkStart w:id="0" w:name="_GoBack"/>
            <w:bookmarkEnd w:id="0"/>
          </w:p>
          <w:p w14:paraId="73EED2EE" w14:textId="69560BB6" w:rsidR="006C23E2" w:rsidRDefault="006C23E2" w:rsidP="00FD7CDE">
            <w:r w:rsidRPr="004469C6">
              <w:rPr>
                <w:i/>
                <w:noProof/>
              </w:rPr>
              <mc:AlternateContent>
                <mc:Choice Requires="wps">
                  <w:drawing>
                    <wp:anchor distT="45720" distB="45720" distL="114300" distR="114300" simplePos="0" relativeHeight="251663360" behindDoc="0" locked="0" layoutInCell="1" allowOverlap="1" wp14:anchorId="250C4206" wp14:editId="27377BAF">
                      <wp:simplePos x="0" y="0"/>
                      <wp:positionH relativeFrom="column">
                        <wp:posOffset>265430</wp:posOffset>
                      </wp:positionH>
                      <wp:positionV relativeFrom="paragraph">
                        <wp:posOffset>225425</wp:posOffset>
                      </wp:positionV>
                      <wp:extent cx="5447030" cy="1701165"/>
                      <wp:effectExtent l="0" t="0" r="20320" b="13335"/>
                      <wp:wrapTopAndBottom/>
                      <wp:docPr id="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7030" cy="1701165"/>
                              </a:xfrm>
                              <a:prstGeom prst="rect">
                                <a:avLst/>
                              </a:prstGeom>
                              <a:solidFill>
                                <a:srgbClr val="FFFFFF"/>
                              </a:solidFill>
                              <a:ln w="9525">
                                <a:solidFill>
                                  <a:srgbClr val="000000"/>
                                </a:solidFill>
                                <a:miter lim="800000"/>
                                <a:headEnd/>
                                <a:tailEnd/>
                              </a:ln>
                            </wps:spPr>
                            <wps:txbx>
                              <w:txbxContent>
                                <w:p w14:paraId="785585B1" w14:textId="77777777" w:rsidR="006C23E2" w:rsidRPr="00FD6A41" w:rsidRDefault="006C23E2" w:rsidP="006C23E2">
                                  <w:pPr>
                                    <w:rPr>
                                      <w:b/>
                                      <w:color w:val="FF0000"/>
                                      <w:sz w:val="18"/>
                                      <w:szCs w:val="18"/>
                                    </w:rPr>
                                  </w:pPr>
                                  <w:proofErr w:type="spellStart"/>
                                  <w:r w:rsidRPr="00FD6A41">
                                    <w:rPr>
                                      <w:b/>
                                      <w:sz w:val="18"/>
                                      <w:szCs w:val="18"/>
                                    </w:rPr>
                                    <w:t>Faktaboks</w:t>
                                  </w:r>
                                  <w:proofErr w:type="spellEnd"/>
                                </w:p>
                                <w:p w14:paraId="03F6DBA1" w14:textId="77777777" w:rsidR="006C23E2" w:rsidRPr="00FD6A41" w:rsidRDefault="006C23E2" w:rsidP="006C23E2">
                                  <w:pPr>
                                    <w:rPr>
                                      <w:sz w:val="18"/>
                                      <w:szCs w:val="18"/>
                                    </w:rPr>
                                  </w:pPr>
                                  <w:r w:rsidRPr="00FD6A41">
                                    <w:rPr>
                                      <w:sz w:val="18"/>
                                      <w:szCs w:val="18"/>
                                    </w:rPr>
                                    <w:t xml:space="preserve">Kravet om at udarbejde og offentliggøre en tilsynsrapport efter hvert fysisk tilsyn har sit udspring i EU´s direktiv om industrielle emissioner </w:t>
                                  </w:r>
                                  <w:r w:rsidRPr="00FD6A41">
                                    <w:rPr>
                                      <w:color w:val="00B050"/>
                                      <w:sz w:val="18"/>
                                      <w:szCs w:val="18"/>
                                    </w:rPr>
                                    <w:t>(</w:t>
                                  </w:r>
                                  <w:hyperlink r:id="rId10" w:history="1">
                                    <w:r w:rsidRPr="00FD6A41">
                                      <w:rPr>
                                        <w:rStyle w:val="Hyperlink"/>
                                        <w:sz w:val="18"/>
                                        <w:szCs w:val="18"/>
                                      </w:rPr>
                                      <w:t>IE-direktivet</w:t>
                                    </w:r>
                                  </w:hyperlink>
                                  <w:r w:rsidRPr="00FD6A41">
                                    <w:rPr>
                                      <w:color w:val="00B050"/>
                                      <w:sz w:val="18"/>
                                      <w:szCs w:val="18"/>
                                    </w:rPr>
                                    <w:t xml:space="preserve">), </w:t>
                                  </w:r>
                                  <w:r w:rsidRPr="00FD6A41">
                                    <w:rPr>
                                      <w:sz w:val="18"/>
                                      <w:szCs w:val="18"/>
                                    </w:rPr>
                                    <w:t>Artikel 23, stk. 6, hvor kravet gælder for ”hver inspektion på anlægsområdet”.</w:t>
                                  </w:r>
                                </w:p>
                                <w:p w14:paraId="30545A93" w14:textId="77777777" w:rsidR="006C23E2" w:rsidRPr="00FD6A41" w:rsidRDefault="006C23E2" w:rsidP="006C23E2">
                                  <w:pPr>
                                    <w:rPr>
                                      <w:sz w:val="18"/>
                                      <w:szCs w:val="18"/>
                                    </w:rPr>
                                  </w:pPr>
                                  <w:r w:rsidRPr="00FD6A41">
                                    <w:rPr>
                                      <w:sz w:val="18"/>
                                      <w:szCs w:val="18"/>
                                    </w:rPr>
                                    <w:t xml:space="preserve"> </w:t>
                                  </w:r>
                                </w:p>
                                <w:p w14:paraId="2F237DE3" w14:textId="0E5FA2B4" w:rsidR="006C23E2" w:rsidRPr="00FD6A41" w:rsidRDefault="006C23E2" w:rsidP="006C23E2">
                                  <w:pPr>
                                    <w:rPr>
                                      <w:sz w:val="18"/>
                                      <w:szCs w:val="18"/>
                                    </w:rPr>
                                  </w:pPr>
                                  <w:r w:rsidRPr="00FD6A41">
                                    <w:rPr>
                                      <w:sz w:val="18"/>
                                      <w:szCs w:val="18"/>
                                    </w:rPr>
                                    <w:t xml:space="preserve">Vær opmærksom på, at der kan være særlige krav til tilsynsrapportens indhold i henhold til retssikkerhedslovens § 8 for tilsyn, hvor der er konstateret overtrædelse af lovgivningen. I disse tilfælde skal rapporten give et udførligt og dækkende indtryk af tilsynets forløb. Som minimum er der normalt behov for i rapporten at notere oplysninger om tilsynets formål, tidspunktet for tilsynet, hvilke personer der var til stede, om der blev anvendt tvang ved gennemførelsen, og hvilke genstande der eventuelt blev taget i myndighedernes besiddelse. Du kan læse mere om anvendelse af retssikkerhedsloven på miljøområdet i </w:t>
                                  </w:r>
                                  <w:hyperlink r:id="rId11" w:history="1">
                                    <w:r w:rsidRPr="006C23E2">
                                      <w:rPr>
                                        <w:rStyle w:val="Hyperlink"/>
                                        <w:sz w:val="18"/>
                                        <w:szCs w:val="18"/>
                                      </w:rPr>
                                      <w:t>Miljøstyrelsens vejledning nr. 7/2005 om vejledning om anvendelse af retssikkerhedsloven på miljøområdet</w:t>
                                    </w:r>
                                  </w:hyperlink>
                                  <w:r>
                                    <w:rPr>
                                      <w:color w:val="00B050"/>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0C4206" id="_x0000_t202" coordsize="21600,21600" o:spt="202" path="m,l,21600r21600,l21600,xe">
                      <v:stroke joinstyle="miter"/>
                      <v:path gradientshapeok="t" o:connecttype="rect"/>
                    </v:shapetype>
                    <v:shape id="Tekstfelt 2" o:spid="_x0000_s1026" type="#_x0000_t202" style="position:absolute;margin-left:20.9pt;margin-top:17.75pt;width:428.9pt;height:133.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wuJAIAAEYEAAAOAAAAZHJzL2Uyb0RvYy54bWysU9uO2yAQfa/Uf0C8N7bTZC9WnNU221SV&#10;thdptx+AMY7RAkOBxE6/vgP2puntpSoPiGGGw8w5M6ubQStyEM5LMBUtZjklwnBopNlV9Mvj9tUV&#10;JT4w0zAFRlT0KDy9Wb98septKebQgWqEIwhifNnbinYh2DLLPO+EZn4GVhh0tuA0C2i6XdY41iO6&#10;Vtk8zy+yHlxjHXDhPd7ejU66TvhtK3j41LZeBKIqirmFtLu013HP1itW7hyzneRTGuwfstBMGvz0&#10;BHXHAiN7J3+D0pI78NCGGQedQdtKLlINWE2R/1LNQ8esSLUgOd6eaPL/D5Z/PHx2RDYVnVNimEaJ&#10;HsWTD61QgcwjPb31JUY9WIwLwxsYUOZUqrf3wJ88MbDpmNmJW+eg7wRrML0ivszOno44PoLU/Qdo&#10;8B+2D5CAhtbpyB2yQRAdZTqepBFDIBwvl4vFZf4aXRx9xWVeFBfL9Acrn59b58M7AZrEQ0Udap/g&#10;2eHeh5gOK59D4m8elGy2UqlkuF29UY4cGPbJNq0J/acwZUhf0evlfDky8FeIPK0/QWgZsOGV1BW9&#10;OgWxMvL21jSpHQOTajxjyspMREbuRhbDUA+TMDU0R6TUwdjYOIh46MB9o6THpq6o/7pnTlCi3huU&#10;5bpYLOIUJGOxvJyj4c499bmHGY5QFQ2UjMdNSJMTCTNwi/K1MhEbdR4zmXLFZk18T4MVp+HcTlE/&#10;xn/9HQAA//8DAFBLAwQUAAYACAAAACEAcC2RreAAAAAJAQAADwAAAGRycy9kb3ducmV2LnhtbEyP&#10;zU7DMBCE70i8g7VIXBB1StKQhDgVQgLBDdoKrm68TSL8E2w3DW/PcoLjzoxmvq3Xs9FsQh8GZwUs&#10;FwkwtK1Tg+0E7LaP1wWwEKVVUjuLAr4xwLo5P6tlpdzJvuG0iR2jEhsqKaCPcaw4D22PRoaFG9GS&#10;d3DeyEin77jy8kTlRvObJMm5kYOlhV6O+NBj+7k5GgFF9jx9hJf09b3ND7qMV7fT05cX4vJivr8D&#10;FnGOf2H4xSd0aIhp745WBaYFZEsijwLS1QoY+UVZ5sD2JCRpBryp+f8Pmh8AAAD//wMAUEsBAi0A&#10;FAAGAAgAAAAhALaDOJL+AAAA4QEAABMAAAAAAAAAAAAAAAAAAAAAAFtDb250ZW50X1R5cGVzXS54&#10;bWxQSwECLQAUAAYACAAAACEAOP0h/9YAAACUAQAACwAAAAAAAAAAAAAAAAAvAQAAX3JlbHMvLnJl&#10;bHNQSwECLQAUAAYACAAAACEAM5bcLiQCAABGBAAADgAAAAAAAAAAAAAAAAAuAgAAZHJzL2Uyb0Rv&#10;Yy54bWxQSwECLQAUAAYACAAAACEAcC2RreAAAAAJAQAADwAAAAAAAAAAAAAAAAB+BAAAZHJzL2Rv&#10;d25yZXYueG1sUEsFBgAAAAAEAAQA8wAAAIsFAAAAAA==&#10;">
                      <v:textbox>
                        <w:txbxContent>
                          <w:p w14:paraId="785585B1" w14:textId="77777777" w:rsidR="006C23E2" w:rsidRPr="00FD6A41" w:rsidRDefault="006C23E2" w:rsidP="006C23E2">
                            <w:pPr>
                              <w:rPr>
                                <w:b/>
                                <w:color w:val="FF0000"/>
                                <w:sz w:val="18"/>
                                <w:szCs w:val="18"/>
                              </w:rPr>
                            </w:pPr>
                            <w:proofErr w:type="spellStart"/>
                            <w:r w:rsidRPr="00FD6A41">
                              <w:rPr>
                                <w:b/>
                                <w:sz w:val="18"/>
                                <w:szCs w:val="18"/>
                              </w:rPr>
                              <w:t>Faktaboks</w:t>
                            </w:r>
                            <w:proofErr w:type="spellEnd"/>
                          </w:p>
                          <w:p w14:paraId="03F6DBA1" w14:textId="77777777" w:rsidR="006C23E2" w:rsidRPr="00FD6A41" w:rsidRDefault="006C23E2" w:rsidP="006C23E2">
                            <w:pPr>
                              <w:rPr>
                                <w:sz w:val="18"/>
                                <w:szCs w:val="18"/>
                              </w:rPr>
                            </w:pPr>
                            <w:r w:rsidRPr="00FD6A41">
                              <w:rPr>
                                <w:sz w:val="18"/>
                                <w:szCs w:val="18"/>
                              </w:rPr>
                              <w:t xml:space="preserve">Kravet om at udarbejde og offentliggøre en tilsynsrapport efter hvert fysisk tilsyn har sit udspring i EU´s direktiv om industrielle emissioner </w:t>
                            </w:r>
                            <w:r w:rsidRPr="00FD6A41">
                              <w:rPr>
                                <w:color w:val="00B050"/>
                                <w:sz w:val="18"/>
                                <w:szCs w:val="18"/>
                              </w:rPr>
                              <w:t>(</w:t>
                            </w:r>
                            <w:hyperlink r:id="rId12" w:history="1">
                              <w:r w:rsidRPr="00FD6A41">
                                <w:rPr>
                                  <w:rStyle w:val="Hyperlink"/>
                                  <w:sz w:val="18"/>
                                  <w:szCs w:val="18"/>
                                </w:rPr>
                                <w:t>IE-direktivet</w:t>
                              </w:r>
                            </w:hyperlink>
                            <w:r w:rsidRPr="00FD6A41">
                              <w:rPr>
                                <w:color w:val="00B050"/>
                                <w:sz w:val="18"/>
                                <w:szCs w:val="18"/>
                              </w:rPr>
                              <w:t xml:space="preserve">), </w:t>
                            </w:r>
                            <w:r w:rsidRPr="00FD6A41">
                              <w:rPr>
                                <w:sz w:val="18"/>
                                <w:szCs w:val="18"/>
                              </w:rPr>
                              <w:t>Artikel 23, stk. 6, hvor kravet gælder for ”hver inspektion på anlægsområdet”.</w:t>
                            </w:r>
                          </w:p>
                          <w:p w14:paraId="30545A93" w14:textId="77777777" w:rsidR="006C23E2" w:rsidRPr="00FD6A41" w:rsidRDefault="006C23E2" w:rsidP="006C23E2">
                            <w:pPr>
                              <w:rPr>
                                <w:sz w:val="18"/>
                                <w:szCs w:val="18"/>
                              </w:rPr>
                            </w:pPr>
                            <w:r w:rsidRPr="00FD6A41">
                              <w:rPr>
                                <w:sz w:val="18"/>
                                <w:szCs w:val="18"/>
                              </w:rPr>
                              <w:t xml:space="preserve"> </w:t>
                            </w:r>
                          </w:p>
                          <w:p w14:paraId="2F237DE3" w14:textId="0E5FA2B4" w:rsidR="006C23E2" w:rsidRPr="00FD6A41" w:rsidRDefault="006C23E2" w:rsidP="006C23E2">
                            <w:pPr>
                              <w:rPr>
                                <w:sz w:val="18"/>
                                <w:szCs w:val="18"/>
                              </w:rPr>
                            </w:pPr>
                            <w:r w:rsidRPr="00FD6A41">
                              <w:rPr>
                                <w:sz w:val="18"/>
                                <w:szCs w:val="18"/>
                              </w:rPr>
                              <w:t xml:space="preserve">Vær opmærksom på, at der kan være særlige krav til tilsynsrapportens indhold i henhold til retssikkerhedslovens § 8 for tilsyn, hvor der er konstateret overtrædelse af lovgivningen. I disse tilfælde skal rapporten give et udførligt og dækkende indtryk af tilsynets forløb. Som minimum er der normalt behov for i rapporten at notere oplysninger om tilsynets formål, tidspunktet for tilsynet, hvilke personer der var til stede, om der blev anvendt tvang ved gennemførelsen, og hvilke genstande der eventuelt blev taget i myndighedernes besiddelse. Du kan læse mere om anvendelse af retssikkerhedsloven på miljøområdet i </w:t>
                            </w:r>
                            <w:hyperlink r:id="rId13" w:history="1">
                              <w:r w:rsidRPr="006C23E2">
                                <w:rPr>
                                  <w:rStyle w:val="Hyperlink"/>
                                  <w:sz w:val="18"/>
                                  <w:szCs w:val="18"/>
                                </w:rPr>
                                <w:t>Miljøstyrelsens vejledning nr. 7/2005 om vejledning om anvendelse af retssikkerhedsloven på miljøområdet</w:t>
                              </w:r>
                            </w:hyperlink>
                            <w:r>
                              <w:rPr>
                                <w:color w:val="00B050"/>
                                <w:sz w:val="18"/>
                                <w:szCs w:val="18"/>
                              </w:rPr>
                              <w:t xml:space="preserve">.  </w:t>
                            </w:r>
                          </w:p>
                        </w:txbxContent>
                      </v:textbox>
                      <w10:wrap type="topAndBottom"/>
                    </v:shape>
                  </w:pict>
                </mc:Fallback>
              </mc:AlternateContent>
            </w:r>
          </w:p>
          <w:p w14:paraId="7E7C982F" w14:textId="0BA2F26B" w:rsidR="00FD7CDE" w:rsidRPr="00AB0C04" w:rsidRDefault="00FD7CDE" w:rsidP="003E395D"/>
          <w:p w14:paraId="2E0DA8A4" w14:textId="04DE4DFD" w:rsidR="002534E3" w:rsidRPr="00071AC6" w:rsidRDefault="00F278DB" w:rsidP="002534E3">
            <w:pPr>
              <w:pStyle w:val="Underoverskrift"/>
            </w:pPr>
            <w:r>
              <w:lastRenderedPageBreak/>
              <w:t>Hv</w:t>
            </w:r>
            <w:r w:rsidR="001E1738">
              <w:t xml:space="preserve">ilke oplysninger fra </w:t>
            </w:r>
            <w:r>
              <w:t xml:space="preserve">tilsynsrapporten </w:t>
            </w:r>
            <w:r w:rsidR="001E1738">
              <w:t>skal offentliggøres</w:t>
            </w:r>
            <w:r w:rsidR="00741F9A">
              <w:t>?</w:t>
            </w:r>
          </w:p>
          <w:p w14:paraId="5D0B78CA" w14:textId="69084DC9" w:rsidR="009F3302" w:rsidRPr="00C53215" w:rsidRDefault="00B022E4" w:rsidP="009F3302">
            <w:pPr>
              <w:spacing w:after="240"/>
            </w:pPr>
            <w:r>
              <w:t xml:space="preserve">De </w:t>
            </w:r>
            <w:r w:rsidR="003B6D6F">
              <w:t>oplysninger</w:t>
            </w:r>
            <w:r>
              <w:t xml:space="preserve">, </w:t>
            </w:r>
            <w:r w:rsidR="007C5BC9">
              <w:t xml:space="preserve">som </w:t>
            </w:r>
            <w:r>
              <w:t>d</w:t>
            </w:r>
            <w:r w:rsidR="00071AC6">
              <w:t xml:space="preserve">u </w:t>
            </w:r>
            <w:r w:rsidR="007C5BC9">
              <w:t>skal offentligøre fra tilsyns</w:t>
            </w:r>
            <w:r w:rsidR="007C5BC9" w:rsidRPr="00C53215">
              <w:t>rapport</w:t>
            </w:r>
            <w:r w:rsidR="007C5BC9">
              <w:t xml:space="preserve">en i </w:t>
            </w:r>
            <w:r w:rsidR="007601ED">
              <w:t>henhold</w:t>
            </w:r>
            <w:r w:rsidR="007C5BC9">
              <w:t xml:space="preserve"> </w:t>
            </w:r>
            <w:r w:rsidR="00801B49">
              <w:t xml:space="preserve">til </w:t>
            </w:r>
            <w:r w:rsidR="007C5BC9">
              <w:t>§ 12</w:t>
            </w:r>
            <w:r w:rsidR="00071AC6">
              <w:t xml:space="preserve"> efter et</w:t>
            </w:r>
            <w:r w:rsidR="007C5BC9">
              <w:t xml:space="preserve"> </w:t>
            </w:r>
            <w:r w:rsidR="006D3122" w:rsidRPr="00DB2454">
              <w:rPr>
                <w:color w:val="00B050"/>
              </w:rPr>
              <w:t xml:space="preserve">fysisk </w:t>
            </w:r>
            <w:r w:rsidR="006D3122" w:rsidRPr="001C3A37">
              <w:rPr>
                <w:color w:val="00B050"/>
              </w:rPr>
              <w:t>tilsyn</w:t>
            </w:r>
            <w:r w:rsidR="006D3122" w:rsidRPr="001C3A37">
              <w:rPr>
                <w:b/>
                <w:color w:val="00B050"/>
              </w:rPr>
              <w:t xml:space="preserve"> </w:t>
            </w:r>
            <w:r w:rsidR="006D3122" w:rsidRPr="006D3122">
              <w:rPr>
                <w:color w:val="00B050"/>
              </w:rPr>
              <w:t>(4.1.7)</w:t>
            </w:r>
            <w:r w:rsidR="006D3122" w:rsidRPr="001C3A37">
              <w:rPr>
                <w:color w:val="00B050"/>
              </w:rPr>
              <w:t xml:space="preserve"> </w:t>
            </w:r>
            <w:r w:rsidR="00071AC6">
              <w:t>på en virksomhed eller et husdyrbrug m.v.</w:t>
            </w:r>
            <w:r w:rsidR="002F233F">
              <w:t>,</w:t>
            </w:r>
            <w:r w:rsidR="009F3302" w:rsidRPr="00C53215">
              <w:t xml:space="preserve"> skal som minimum indeholde </w:t>
            </w:r>
            <w:r w:rsidR="00071AC6">
              <w:t xml:space="preserve">de </w:t>
            </w:r>
            <w:r w:rsidR="00701384">
              <w:t>8 punkter</w:t>
            </w:r>
            <w:r w:rsidR="00071AC6">
              <w:t>, der er oplistet i § 11</w:t>
            </w:r>
            <w:r w:rsidR="009F3302" w:rsidRPr="00C53215">
              <w:t>:</w:t>
            </w:r>
          </w:p>
          <w:p w14:paraId="1C25B5BA" w14:textId="25F3079E" w:rsidR="009F3302" w:rsidRDefault="00EC2402" w:rsidP="00EC2402">
            <w:pPr>
              <w:pStyle w:val="Opstilling-talellerbogst"/>
              <w:numPr>
                <w:ilvl w:val="0"/>
                <w:numId w:val="25"/>
              </w:numPr>
              <w:ind w:left="360"/>
            </w:pPr>
            <w:r>
              <w:rPr>
                <w:u w:val="single"/>
              </w:rPr>
              <w:t>B</w:t>
            </w:r>
            <w:r w:rsidR="009F3302" w:rsidRPr="00EC6F12">
              <w:rPr>
                <w:u w:val="single"/>
              </w:rPr>
              <w:t xml:space="preserve">aggrunden for </w:t>
            </w:r>
            <w:r w:rsidR="009F3302" w:rsidRPr="008B54D0">
              <w:rPr>
                <w:u w:val="single"/>
              </w:rPr>
              <w:t>tilsynet</w:t>
            </w:r>
            <w:r w:rsidR="00EC6F12" w:rsidRPr="008B54D0">
              <w:t xml:space="preserve">. Her </w:t>
            </w:r>
            <w:r w:rsidR="00F40F35" w:rsidRPr="008B54D0">
              <w:t>oplyses</w:t>
            </w:r>
            <w:r w:rsidR="00B022E4" w:rsidRPr="008B54D0">
              <w:t xml:space="preserve"> </w:t>
            </w:r>
            <w:r w:rsidR="00BF6AEE" w:rsidRPr="008B54D0">
              <w:rPr>
                <w:color w:val="00B050"/>
              </w:rPr>
              <w:t>tilsynskategorien</w:t>
            </w:r>
            <w:r w:rsidR="006D3122" w:rsidRPr="008B54D0">
              <w:rPr>
                <w:color w:val="00B050"/>
              </w:rPr>
              <w:t xml:space="preserve"> (</w:t>
            </w:r>
            <w:r w:rsidR="00EC4B96" w:rsidRPr="008B54D0">
              <w:rPr>
                <w:color w:val="00B050"/>
              </w:rPr>
              <w:t>4.1</w:t>
            </w:r>
            <w:r w:rsidR="006D3122" w:rsidRPr="008B54D0">
              <w:rPr>
                <w:color w:val="00B050"/>
              </w:rPr>
              <w:t>)</w:t>
            </w:r>
            <w:r w:rsidR="00CB54E4" w:rsidRPr="008B54D0">
              <w:t xml:space="preserve"> og en</w:t>
            </w:r>
            <w:r w:rsidR="00CB54E4">
              <w:t xml:space="preserve"> begrundelse for, hvorfor der er ført tilsyn på netop denne virksomhed eller dette husdyrbrug m.v. </w:t>
            </w:r>
            <w:r w:rsidR="00BF6AEE">
              <w:t xml:space="preserve">Hvis </w:t>
            </w:r>
            <w:r w:rsidR="00CB54E4">
              <w:t xml:space="preserve">fx </w:t>
            </w:r>
            <w:r w:rsidR="00BF6AEE">
              <w:t xml:space="preserve">tilsynet er et </w:t>
            </w:r>
            <w:r w:rsidR="00701384" w:rsidRPr="00701384">
              <w:rPr>
                <w:color w:val="00B050"/>
              </w:rPr>
              <w:t>§</w:t>
            </w:r>
            <w:r w:rsidR="000D0994">
              <w:rPr>
                <w:color w:val="00B050"/>
              </w:rPr>
              <w:t xml:space="preserve"> </w:t>
            </w:r>
            <w:r w:rsidR="006D3122" w:rsidRPr="00085A9B">
              <w:rPr>
                <w:color w:val="00B050"/>
              </w:rPr>
              <w:t>9-tilsyn</w:t>
            </w:r>
            <w:r w:rsidR="006D3122">
              <w:rPr>
                <w:color w:val="00B050"/>
              </w:rPr>
              <w:t xml:space="preserve"> </w:t>
            </w:r>
            <w:r w:rsidR="006D3122" w:rsidRPr="00BF6595">
              <w:t>(4.1</w:t>
            </w:r>
            <w:r w:rsidR="006D3122">
              <w:t>.4)</w:t>
            </w:r>
            <w:r w:rsidR="00BF6AEE">
              <w:t xml:space="preserve"> </w:t>
            </w:r>
            <w:r w:rsidR="00CB54E4">
              <w:t xml:space="preserve">kan du </w:t>
            </w:r>
            <w:r w:rsidR="00735D10">
              <w:t>oplyse,</w:t>
            </w:r>
            <w:r w:rsidR="00BF6AEE">
              <w:t xml:space="preserve"> hvilken type hændelse der har udløst tilsynet, fx naboklage eller uheld</w:t>
            </w:r>
            <w:r w:rsidR="002A6695">
              <w:t xml:space="preserve">. Ved et </w:t>
            </w:r>
            <w:r w:rsidR="002A6695" w:rsidRPr="00701384">
              <w:rPr>
                <w:color w:val="00B050"/>
              </w:rPr>
              <w:t xml:space="preserve">prioriteret </w:t>
            </w:r>
            <w:r w:rsidR="002A6695" w:rsidRPr="00414EB8">
              <w:rPr>
                <w:color w:val="00B050"/>
              </w:rPr>
              <w:t xml:space="preserve">tilsyn </w:t>
            </w:r>
            <w:r w:rsidR="006D3122" w:rsidRPr="00AB0C04">
              <w:rPr>
                <w:color w:val="00B050"/>
              </w:rPr>
              <w:t>(4.1.2)</w:t>
            </w:r>
            <w:r w:rsidR="006D3122">
              <w:t xml:space="preserve"> </w:t>
            </w:r>
            <w:r w:rsidR="002A6695">
              <w:t>kan du angive</w:t>
            </w:r>
            <w:r w:rsidR="00AB0C04">
              <w:t>,</w:t>
            </w:r>
            <w:r w:rsidR="002A6695">
              <w:t xml:space="preserve"> på hvilken parameter i risikoscoren der er scoret højt</w:t>
            </w:r>
            <w:r w:rsidR="006D3122">
              <w:t>.</w:t>
            </w:r>
            <w:r w:rsidR="002A6695">
              <w:t xml:space="preserve"> </w:t>
            </w:r>
            <w:r w:rsidR="006D3122">
              <w:t>Om</w:t>
            </w:r>
            <w:r w:rsidR="002A6695">
              <w:t xml:space="preserve"> </w:t>
            </w:r>
            <w:r w:rsidR="002A6695" w:rsidRPr="00414EB8">
              <w:rPr>
                <w:color w:val="00B050"/>
              </w:rPr>
              <w:t>kampagnetilsyn</w:t>
            </w:r>
            <w:r w:rsidR="002A6695" w:rsidRPr="00AB0C04">
              <w:rPr>
                <w:color w:val="00B050"/>
              </w:rPr>
              <w:t xml:space="preserve"> </w:t>
            </w:r>
            <w:r w:rsidR="006D3122" w:rsidRPr="00AB0C04">
              <w:rPr>
                <w:color w:val="00B050"/>
              </w:rPr>
              <w:t xml:space="preserve">(4.1.3) </w:t>
            </w:r>
            <w:r w:rsidR="002A6695">
              <w:t>kan</w:t>
            </w:r>
            <w:r w:rsidR="005C1B6C">
              <w:t xml:space="preserve"> du oplyse</w:t>
            </w:r>
            <w:r w:rsidR="002A6695">
              <w:t xml:space="preserve"> begrundelse</w:t>
            </w:r>
            <w:r w:rsidR="005C1B6C">
              <w:t>n</w:t>
            </w:r>
            <w:r w:rsidR="002A6695">
              <w:t xml:space="preserve"> for</w:t>
            </w:r>
            <w:r w:rsidR="00FB252C">
              <w:t>, at</w:t>
            </w:r>
            <w:r w:rsidR="002A6695">
              <w:t xml:space="preserve"> virksomheden eller husdyrbruget</w:t>
            </w:r>
            <w:r w:rsidR="007C5BC9">
              <w:t xml:space="preserve"> m.v. er </w:t>
            </w:r>
            <w:r w:rsidR="00343572">
              <w:t>udvalgt til</w:t>
            </w:r>
            <w:r w:rsidR="002A6695">
              <w:t xml:space="preserve"> kampagne</w:t>
            </w:r>
            <w:r w:rsidR="00343572">
              <w:t>n</w:t>
            </w:r>
            <w:r w:rsidR="007C5BC9">
              <w:t>.</w:t>
            </w:r>
            <w:r w:rsidR="002A6695">
              <w:t xml:space="preserve"> </w:t>
            </w:r>
          </w:p>
          <w:p w14:paraId="5045C77F" w14:textId="77777777" w:rsidR="00BF6AEE" w:rsidRPr="00C53215" w:rsidRDefault="00BF6AEE" w:rsidP="00EC2402"/>
          <w:p w14:paraId="52B2433E" w14:textId="508D61CA" w:rsidR="004469C6" w:rsidRDefault="004469C6" w:rsidP="00EC2402">
            <w:pPr>
              <w:pStyle w:val="Opstilling-talellerbogst"/>
              <w:numPr>
                <w:ilvl w:val="0"/>
                <w:numId w:val="25"/>
              </w:numPr>
              <w:ind w:left="360"/>
            </w:pPr>
            <w:r>
              <w:rPr>
                <w:noProof/>
              </w:rPr>
              <mc:AlternateContent>
                <mc:Choice Requires="wps">
                  <w:drawing>
                    <wp:anchor distT="45720" distB="45720" distL="114300" distR="114300" simplePos="0" relativeHeight="251661312" behindDoc="0" locked="0" layoutInCell="1" allowOverlap="1" wp14:anchorId="3F3DBDCF" wp14:editId="639A93EF">
                      <wp:simplePos x="0" y="0"/>
                      <wp:positionH relativeFrom="column">
                        <wp:posOffset>233680</wp:posOffset>
                      </wp:positionH>
                      <wp:positionV relativeFrom="paragraph">
                        <wp:posOffset>861695</wp:posOffset>
                      </wp:positionV>
                      <wp:extent cx="5287010" cy="1404620"/>
                      <wp:effectExtent l="0" t="0" r="27940" b="2730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7010" cy="1404620"/>
                              </a:xfrm>
                              <a:prstGeom prst="rect">
                                <a:avLst/>
                              </a:prstGeom>
                              <a:solidFill>
                                <a:srgbClr val="FFFFFF"/>
                              </a:solidFill>
                              <a:ln w="9525">
                                <a:solidFill>
                                  <a:srgbClr val="000000"/>
                                </a:solidFill>
                                <a:miter lim="800000"/>
                                <a:headEnd/>
                                <a:tailEnd/>
                              </a:ln>
                            </wps:spPr>
                            <wps:txbx>
                              <w:txbxContent>
                                <w:p w14:paraId="696BA330" w14:textId="73E8A05C" w:rsidR="004469C6" w:rsidRPr="00FD6A41" w:rsidRDefault="004469C6" w:rsidP="006F00F3">
                                  <w:pPr>
                                    <w:pStyle w:val="Opstilling-talellerbogst"/>
                                    <w:numPr>
                                      <w:ilvl w:val="0"/>
                                      <w:numId w:val="0"/>
                                    </w:numPr>
                                    <w:rPr>
                                      <w:b/>
                                      <w:sz w:val="18"/>
                                      <w:szCs w:val="18"/>
                                    </w:rPr>
                                  </w:pPr>
                                  <w:proofErr w:type="spellStart"/>
                                  <w:r w:rsidRPr="00FD6A41">
                                    <w:rPr>
                                      <w:b/>
                                      <w:sz w:val="18"/>
                                      <w:szCs w:val="18"/>
                                    </w:rPr>
                                    <w:t>Faktaboks</w:t>
                                  </w:r>
                                  <w:proofErr w:type="spellEnd"/>
                                </w:p>
                                <w:p w14:paraId="6C44193E" w14:textId="6FEB4553" w:rsidR="004469C6" w:rsidRDefault="004469C6" w:rsidP="006F00F3">
                                  <w:pPr>
                                    <w:pStyle w:val="Opstilling-talellerbogst"/>
                                    <w:numPr>
                                      <w:ilvl w:val="0"/>
                                      <w:numId w:val="0"/>
                                    </w:numPr>
                                    <w:rPr>
                                      <w:sz w:val="18"/>
                                      <w:szCs w:val="18"/>
                                    </w:rPr>
                                  </w:pPr>
                                  <w:r w:rsidRPr="00FD6A41">
                                    <w:rPr>
                                      <w:sz w:val="18"/>
                                      <w:szCs w:val="18"/>
                                    </w:rPr>
                                    <w:t xml:space="preserve">P-nummer (produktionsenheds-nummer): </w:t>
                                  </w:r>
                                  <w:r w:rsidRPr="00FD6A41">
                                    <w:rPr>
                                      <w:color w:val="212529"/>
                                      <w:sz w:val="18"/>
                                      <w:szCs w:val="18"/>
                                      <w:shd w:val="clear" w:color="auto" w:fill="FFFFFF"/>
                                    </w:rPr>
                                    <w:t xml:space="preserve">Hvis en juridisk enhed har aktiviteter på flere adresser, har de underliggende produktionsenheder oftest hvert sit p-nummer. </w:t>
                                  </w:r>
                                  <w:r w:rsidRPr="00FD6A41">
                                    <w:rPr>
                                      <w:sz w:val="18"/>
                                      <w:szCs w:val="18"/>
                                    </w:rPr>
                                    <w:t>P-nummeret findes i det Centrale Virksomhedsregister</w:t>
                                  </w:r>
                                  <w:hyperlink r:id="rId14" w:history="1">
                                    <w:r w:rsidR="004405B9" w:rsidRPr="00FD6A41">
                                      <w:rPr>
                                        <w:rStyle w:val="Hyperlink"/>
                                        <w:sz w:val="18"/>
                                        <w:szCs w:val="18"/>
                                      </w:rPr>
                                      <w:t>, cvr.dk</w:t>
                                    </w:r>
                                    <w:r w:rsidR="00FD6A41">
                                      <w:rPr>
                                        <w:rStyle w:val="Hyperlink"/>
                                        <w:sz w:val="18"/>
                                        <w:szCs w:val="18"/>
                                      </w:rPr>
                                      <w:t>.</w:t>
                                    </w:r>
                                    <w:r w:rsidR="004405B9" w:rsidRPr="00FD6A41">
                                      <w:rPr>
                                        <w:rStyle w:val="Hyperlink"/>
                                        <w:sz w:val="18"/>
                                        <w:szCs w:val="18"/>
                                      </w:rPr>
                                      <w:t xml:space="preserve"> </w:t>
                                    </w:r>
                                  </w:hyperlink>
                                  <w:r w:rsidRPr="00FD6A41">
                                    <w:rPr>
                                      <w:sz w:val="18"/>
                                      <w:szCs w:val="18"/>
                                    </w:rPr>
                                    <w:t xml:space="preserve"> </w:t>
                                  </w:r>
                                </w:p>
                                <w:p w14:paraId="2FCF68C8" w14:textId="77777777" w:rsidR="00FD6A41" w:rsidRPr="00FD6A41" w:rsidRDefault="00FD6A41" w:rsidP="006F00F3">
                                  <w:pPr>
                                    <w:pStyle w:val="Opstilling-talellerbogst"/>
                                    <w:numPr>
                                      <w:ilvl w:val="0"/>
                                      <w:numId w:val="0"/>
                                    </w:numPr>
                                    <w:rPr>
                                      <w:sz w:val="18"/>
                                      <w:szCs w:val="18"/>
                                    </w:rPr>
                                  </w:pPr>
                                </w:p>
                                <w:p w14:paraId="3ACC03AF" w14:textId="26A3AB31" w:rsidR="004469C6" w:rsidRPr="00FD6A41" w:rsidRDefault="004469C6" w:rsidP="006F00F3">
                                  <w:pPr>
                                    <w:pStyle w:val="Opstilling-talellerbogst"/>
                                    <w:numPr>
                                      <w:ilvl w:val="0"/>
                                      <w:numId w:val="0"/>
                                    </w:numPr>
                                    <w:rPr>
                                      <w:sz w:val="18"/>
                                      <w:szCs w:val="18"/>
                                    </w:rPr>
                                  </w:pPr>
                                  <w:r w:rsidRPr="00FD6A41">
                                    <w:rPr>
                                      <w:sz w:val="18"/>
                                      <w:szCs w:val="18"/>
                                    </w:rPr>
                                    <w:t xml:space="preserve">CHR er Miljø- og Fødevareministeriets Centrale </w:t>
                                  </w:r>
                                  <w:proofErr w:type="spellStart"/>
                                  <w:r w:rsidRPr="00FD6A41">
                                    <w:rPr>
                                      <w:sz w:val="18"/>
                                      <w:szCs w:val="18"/>
                                    </w:rPr>
                                    <w:t>HusdyrbrugRegister</w:t>
                                  </w:r>
                                  <w:proofErr w:type="spellEnd"/>
                                  <w:r w:rsidRPr="00FD6A41">
                                    <w:rPr>
                                      <w:sz w:val="18"/>
                                      <w:szCs w:val="18"/>
                                    </w:rPr>
                                    <w:t>, hvor alle besætninger skal være registreret. CHR-nummeret findes på Fødevarestyrelsens hjemmeside</w:t>
                                  </w:r>
                                  <w:r w:rsidR="004405B9" w:rsidRPr="00FD6A41">
                                    <w:rPr>
                                      <w:sz w:val="18"/>
                                      <w:szCs w:val="18"/>
                                    </w:rPr>
                                    <w:t xml:space="preserve">, </w:t>
                                  </w:r>
                                  <w:hyperlink r:id="rId15" w:history="1">
                                    <w:r w:rsidR="00EC2402" w:rsidRPr="00FD6A41">
                                      <w:rPr>
                                        <w:rStyle w:val="Hyperlink"/>
                                        <w:sz w:val="18"/>
                                        <w:szCs w:val="18"/>
                                      </w:rPr>
                                      <w:t>chr.fvst.dk</w:t>
                                    </w:r>
                                  </w:hyperlink>
                                  <w:r w:rsidR="00EC2402" w:rsidRPr="00FD6A41">
                                    <w:rPr>
                                      <w:color w:val="00B050"/>
                                      <w:sz w:val="18"/>
                                      <w:szCs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3DBDCF" id="_x0000_s1027" type="#_x0000_t202" style="position:absolute;left:0;text-align:left;margin-left:18.4pt;margin-top:67.85pt;width:416.3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iAKQIAAE0EAAAOAAAAZHJzL2Uyb0RvYy54bWysVNFu0zAUfUfiHyy/06RVu3VR02l0FCGN&#10;gbTxAY7jNNZsX2O7TcrXc+1kJQKeEHmw7Nzrk3PPuTeb214rchLOSzAlnc9ySoThUEtzKOm35/27&#10;NSU+MFMzBUaU9Cw8vd2+fbPpbCEW0IKqhSMIYnzR2ZK2IdgiyzxvhWZ+BlYYDDbgNAt4dIesdqxD&#10;dK2yRZ5fZR242jrgwnt8ez8E6TbhN43g4UvTeBGIKilyC2l1aa3imm03rDg4ZlvJRxrsH1hoJg1+&#10;9AJ1zwIjRyf/gNKSO/DQhBkHnUHTSC5SDVjNPP+tmqeWWZFqQXG8vcjk/x8sfzx9dUTW6B0lhmm0&#10;6Fm8+NAIFcgiytNZX2DWk8W80L+HPqbGUr19AP7iiYFdy8xB3DkHXStYjfTm8WY2uTrg+AhSdZ+h&#10;xu+wY4AE1DdOR0BUgyA62nS+WCP6QDi+XC3W1ygQJRxj82W+vFok8zJWvF63zoePAjSJm5I69D7B&#10;s9ODD5EOK15TEn1Qst5LpdLBHaqdcuTEsE/26UkVYJXTNGVIV9Kb1WI1KDCN+SlEnp6/QWgZsOGV&#10;1CVdX5JYEXX7YOrUjoFJNeyRsjKjkFG7QcXQV/1o2ehPBfUZlXUw9DfOI25acD8o6bC3S+q/H5kT&#10;lKhPBt25mS+XcRjSYbm6RimJm0aqaYQZjlAlDZQM211IAzT0wB26uJdJ32j3wGSkjD2bZB/nKw7F&#10;9Jyyfv0Ftj8BAAD//wMAUEsDBBQABgAIAAAAIQA2dc3z3gAAAAoBAAAPAAAAZHJzL2Rvd25yZXYu&#10;eG1sTI/BTsMwEETvSPyDtUhcKupAiNuGOBVU6olTQ3t34yWJiNchdtv071lOcJyd0czbYj25Xpxx&#10;DJ0nDY/zBARS7W1HjYb9x/ZhCSJEQ9b0nlDDFQOsy9ubwuTWX2iH5yo2gkso5EZDG+OQSxnqFp0J&#10;cz8gsffpR2ciy7GRdjQXLne9fEoSJZ3piBdaM+CmxfqrOjkN6rtKZ+8HO6Pddfs21i6zm32m9f3d&#10;9PoCIuIU/8Lwi8/oUDLT0Z/IBtFrSBWTR76n2QIEB5Zq9QziyE6mViDLQv5/ofwBAAD//wMAUEsB&#10;Ai0AFAAGAAgAAAAhALaDOJL+AAAA4QEAABMAAAAAAAAAAAAAAAAAAAAAAFtDb250ZW50X1R5cGVz&#10;XS54bWxQSwECLQAUAAYACAAAACEAOP0h/9YAAACUAQAACwAAAAAAAAAAAAAAAAAvAQAAX3JlbHMv&#10;LnJlbHNQSwECLQAUAAYACAAAACEAtIzYgCkCAABNBAAADgAAAAAAAAAAAAAAAAAuAgAAZHJzL2Uy&#10;b0RvYy54bWxQSwECLQAUAAYACAAAACEANnXN894AAAAKAQAADwAAAAAAAAAAAAAAAACDBAAAZHJz&#10;L2Rvd25yZXYueG1sUEsFBgAAAAAEAAQA8wAAAI4FAAAAAA==&#10;">
                      <v:textbox style="mso-fit-shape-to-text:t">
                        <w:txbxContent>
                          <w:p w14:paraId="696BA330" w14:textId="73E8A05C" w:rsidR="004469C6" w:rsidRPr="00FD6A41" w:rsidRDefault="004469C6" w:rsidP="006F00F3">
                            <w:pPr>
                              <w:pStyle w:val="Opstilling-talellerbogst"/>
                              <w:numPr>
                                <w:ilvl w:val="0"/>
                                <w:numId w:val="0"/>
                              </w:numPr>
                              <w:rPr>
                                <w:b/>
                                <w:sz w:val="18"/>
                                <w:szCs w:val="18"/>
                              </w:rPr>
                            </w:pPr>
                            <w:proofErr w:type="spellStart"/>
                            <w:r w:rsidRPr="00FD6A41">
                              <w:rPr>
                                <w:b/>
                                <w:sz w:val="18"/>
                                <w:szCs w:val="18"/>
                              </w:rPr>
                              <w:t>Faktaboks</w:t>
                            </w:r>
                            <w:proofErr w:type="spellEnd"/>
                          </w:p>
                          <w:p w14:paraId="6C44193E" w14:textId="6FEB4553" w:rsidR="004469C6" w:rsidRDefault="004469C6" w:rsidP="006F00F3">
                            <w:pPr>
                              <w:pStyle w:val="Opstilling-talellerbogst"/>
                              <w:numPr>
                                <w:ilvl w:val="0"/>
                                <w:numId w:val="0"/>
                              </w:numPr>
                              <w:rPr>
                                <w:sz w:val="18"/>
                                <w:szCs w:val="18"/>
                              </w:rPr>
                            </w:pPr>
                            <w:r w:rsidRPr="00FD6A41">
                              <w:rPr>
                                <w:sz w:val="18"/>
                                <w:szCs w:val="18"/>
                              </w:rPr>
                              <w:t xml:space="preserve">P-nummer (produktionsenheds-nummer): </w:t>
                            </w:r>
                            <w:r w:rsidRPr="00FD6A41">
                              <w:rPr>
                                <w:color w:val="212529"/>
                                <w:sz w:val="18"/>
                                <w:szCs w:val="18"/>
                                <w:shd w:val="clear" w:color="auto" w:fill="FFFFFF"/>
                              </w:rPr>
                              <w:t xml:space="preserve">Hvis en juridisk enhed har aktiviteter på flere adresser, har de underliggende produktionsenheder oftest hvert sit p-nummer. </w:t>
                            </w:r>
                            <w:r w:rsidRPr="00FD6A41">
                              <w:rPr>
                                <w:sz w:val="18"/>
                                <w:szCs w:val="18"/>
                              </w:rPr>
                              <w:t>P-nummeret findes i det Centrale Virksomhedsregister</w:t>
                            </w:r>
                            <w:hyperlink r:id="rId16" w:history="1">
                              <w:r w:rsidR="004405B9" w:rsidRPr="00FD6A41">
                                <w:rPr>
                                  <w:rStyle w:val="Hyperlink"/>
                                  <w:sz w:val="18"/>
                                  <w:szCs w:val="18"/>
                                </w:rPr>
                                <w:t>, cvr.dk</w:t>
                              </w:r>
                              <w:r w:rsidR="00FD6A41">
                                <w:rPr>
                                  <w:rStyle w:val="Hyperlink"/>
                                  <w:sz w:val="18"/>
                                  <w:szCs w:val="18"/>
                                </w:rPr>
                                <w:t>.</w:t>
                              </w:r>
                              <w:r w:rsidR="004405B9" w:rsidRPr="00FD6A41">
                                <w:rPr>
                                  <w:rStyle w:val="Hyperlink"/>
                                  <w:sz w:val="18"/>
                                  <w:szCs w:val="18"/>
                                </w:rPr>
                                <w:t xml:space="preserve"> </w:t>
                              </w:r>
                            </w:hyperlink>
                            <w:r w:rsidRPr="00FD6A41">
                              <w:rPr>
                                <w:sz w:val="18"/>
                                <w:szCs w:val="18"/>
                              </w:rPr>
                              <w:t xml:space="preserve"> </w:t>
                            </w:r>
                          </w:p>
                          <w:p w14:paraId="2FCF68C8" w14:textId="77777777" w:rsidR="00FD6A41" w:rsidRPr="00FD6A41" w:rsidRDefault="00FD6A41" w:rsidP="006F00F3">
                            <w:pPr>
                              <w:pStyle w:val="Opstilling-talellerbogst"/>
                              <w:numPr>
                                <w:ilvl w:val="0"/>
                                <w:numId w:val="0"/>
                              </w:numPr>
                              <w:rPr>
                                <w:sz w:val="18"/>
                                <w:szCs w:val="18"/>
                              </w:rPr>
                            </w:pPr>
                          </w:p>
                          <w:p w14:paraId="3ACC03AF" w14:textId="26A3AB31" w:rsidR="004469C6" w:rsidRPr="00FD6A41" w:rsidRDefault="004469C6" w:rsidP="006F00F3">
                            <w:pPr>
                              <w:pStyle w:val="Opstilling-talellerbogst"/>
                              <w:numPr>
                                <w:ilvl w:val="0"/>
                                <w:numId w:val="0"/>
                              </w:numPr>
                              <w:rPr>
                                <w:sz w:val="18"/>
                                <w:szCs w:val="18"/>
                              </w:rPr>
                            </w:pPr>
                            <w:r w:rsidRPr="00FD6A41">
                              <w:rPr>
                                <w:sz w:val="18"/>
                                <w:szCs w:val="18"/>
                              </w:rPr>
                              <w:t xml:space="preserve">CHR er Miljø- og Fødevareministeriets Centrale </w:t>
                            </w:r>
                            <w:proofErr w:type="spellStart"/>
                            <w:r w:rsidRPr="00FD6A41">
                              <w:rPr>
                                <w:sz w:val="18"/>
                                <w:szCs w:val="18"/>
                              </w:rPr>
                              <w:t>HusdyrbrugRegister</w:t>
                            </w:r>
                            <w:proofErr w:type="spellEnd"/>
                            <w:r w:rsidRPr="00FD6A41">
                              <w:rPr>
                                <w:sz w:val="18"/>
                                <w:szCs w:val="18"/>
                              </w:rPr>
                              <w:t>, hvor alle besætninger skal være registreret. CHR-nummeret findes på Fødevarestyrelsens hjemmeside</w:t>
                            </w:r>
                            <w:r w:rsidR="004405B9" w:rsidRPr="00FD6A41">
                              <w:rPr>
                                <w:sz w:val="18"/>
                                <w:szCs w:val="18"/>
                              </w:rPr>
                              <w:t xml:space="preserve">, </w:t>
                            </w:r>
                            <w:hyperlink r:id="rId17" w:history="1">
                              <w:r w:rsidR="00EC2402" w:rsidRPr="00FD6A41">
                                <w:rPr>
                                  <w:rStyle w:val="Hyperlink"/>
                                  <w:sz w:val="18"/>
                                  <w:szCs w:val="18"/>
                                </w:rPr>
                                <w:t>chr.fvst.dk</w:t>
                              </w:r>
                            </w:hyperlink>
                            <w:r w:rsidR="00EC2402" w:rsidRPr="00FD6A41">
                              <w:rPr>
                                <w:color w:val="00B050"/>
                                <w:sz w:val="18"/>
                                <w:szCs w:val="18"/>
                              </w:rPr>
                              <w:t xml:space="preserve"> </w:t>
                            </w:r>
                          </w:p>
                        </w:txbxContent>
                      </v:textbox>
                      <w10:wrap type="topAndBottom"/>
                    </v:shape>
                  </w:pict>
                </mc:Fallback>
              </mc:AlternateContent>
            </w:r>
            <w:r w:rsidR="00EC2402">
              <w:rPr>
                <w:u w:val="single"/>
              </w:rPr>
              <w:t>N</w:t>
            </w:r>
            <w:r w:rsidR="009F3302" w:rsidRPr="00343572">
              <w:rPr>
                <w:u w:val="single"/>
              </w:rPr>
              <w:t xml:space="preserve">avn, </w:t>
            </w:r>
            <w:r w:rsidR="00765C1C" w:rsidRPr="00343572">
              <w:rPr>
                <w:u w:val="single"/>
              </w:rPr>
              <w:t xml:space="preserve">adresse, </w:t>
            </w:r>
            <w:r w:rsidR="009F3302" w:rsidRPr="00343572">
              <w:rPr>
                <w:u w:val="single"/>
              </w:rPr>
              <w:t xml:space="preserve">CVR. nr. </w:t>
            </w:r>
            <w:r w:rsidR="00765C1C" w:rsidRPr="00343572">
              <w:rPr>
                <w:u w:val="single"/>
              </w:rPr>
              <w:t xml:space="preserve">og </w:t>
            </w:r>
            <w:r w:rsidR="009F3302" w:rsidRPr="00343572">
              <w:rPr>
                <w:u w:val="single"/>
              </w:rPr>
              <w:t xml:space="preserve">evt. P-nummer eller </w:t>
            </w:r>
            <w:r w:rsidR="0019793B" w:rsidRPr="00343572">
              <w:rPr>
                <w:u w:val="single"/>
              </w:rPr>
              <w:t>ev</w:t>
            </w:r>
            <w:r w:rsidR="00465256" w:rsidRPr="00343572">
              <w:rPr>
                <w:u w:val="single"/>
              </w:rPr>
              <w:t>t</w:t>
            </w:r>
            <w:r w:rsidR="0019793B" w:rsidRPr="00343572">
              <w:rPr>
                <w:u w:val="single"/>
              </w:rPr>
              <w:t xml:space="preserve">. </w:t>
            </w:r>
            <w:r w:rsidR="009F3302" w:rsidRPr="00343572">
              <w:rPr>
                <w:u w:val="single"/>
              </w:rPr>
              <w:t>CHR-nummer på virksomheden eller husdyrbruget</w:t>
            </w:r>
            <w:r w:rsidR="00765C1C" w:rsidRPr="00343572">
              <w:rPr>
                <w:u w:val="single"/>
              </w:rPr>
              <w:t xml:space="preserve"> m.v.</w:t>
            </w:r>
            <w:r w:rsidR="00D91B86" w:rsidRPr="00343572">
              <w:t xml:space="preserve"> </w:t>
            </w:r>
            <w:r w:rsidR="00371E75" w:rsidRPr="00343572">
              <w:t>CVR-nr. skal suppleres med oplysninger om enten et P-nummer eller et CHR-nummer, hvis virksomheden eller husdyrbrug</w:t>
            </w:r>
            <w:r w:rsidR="00837380">
              <w:t>e</w:t>
            </w:r>
            <w:r w:rsidR="00371E75" w:rsidRPr="00343572">
              <w:t xml:space="preserve">t </w:t>
            </w:r>
            <w:r w:rsidR="00837380">
              <w:t xml:space="preserve">m.v. </w:t>
            </w:r>
            <w:r w:rsidR="00371E75" w:rsidRPr="00343572">
              <w:t>har et sådan</w:t>
            </w:r>
            <w:r w:rsidR="00371E75">
              <w:t>t</w:t>
            </w:r>
            <w:r w:rsidR="00371E75" w:rsidRPr="00343572">
              <w:t xml:space="preserve"> </w:t>
            </w:r>
            <w:r w:rsidR="00371E75">
              <w:t xml:space="preserve">nummer. </w:t>
            </w:r>
            <w:r w:rsidR="007C5BC9" w:rsidRPr="00343572">
              <w:t xml:space="preserve">Ud fra </w:t>
            </w:r>
            <w:r w:rsidR="000C48BE" w:rsidRPr="00343572">
              <w:t>o</w:t>
            </w:r>
            <w:r w:rsidR="0019793B" w:rsidRPr="00343572">
              <w:t>plysninger</w:t>
            </w:r>
            <w:r w:rsidR="00801B49">
              <w:t>ne</w:t>
            </w:r>
            <w:r w:rsidR="0019793B" w:rsidRPr="00343572">
              <w:t xml:space="preserve"> skal </w:t>
            </w:r>
            <w:r w:rsidR="000C48BE" w:rsidRPr="00343572">
              <w:t xml:space="preserve">man </w:t>
            </w:r>
            <w:r w:rsidR="0019793B" w:rsidRPr="00343572">
              <w:t>kunne identificere</w:t>
            </w:r>
            <w:r w:rsidR="000C48BE" w:rsidRPr="00343572">
              <w:t>,</w:t>
            </w:r>
            <w:r w:rsidR="0019793B" w:rsidRPr="00343572">
              <w:t xml:space="preserve"> hvor tilsynet har fundet sted</w:t>
            </w:r>
            <w:r w:rsidR="00465256" w:rsidRPr="00343572">
              <w:t xml:space="preserve">. </w:t>
            </w:r>
          </w:p>
          <w:p w14:paraId="1BCA8A33" w14:textId="53C4B28E" w:rsidR="004469C6" w:rsidRDefault="004469C6" w:rsidP="00EC2402">
            <w:pPr>
              <w:pStyle w:val="Listeafsnit"/>
              <w:ind w:left="360"/>
            </w:pPr>
          </w:p>
          <w:p w14:paraId="7ABD37D0" w14:textId="19C393EA" w:rsidR="009F3302" w:rsidRPr="00D8309B" w:rsidRDefault="00EC2402" w:rsidP="00EC2402">
            <w:pPr>
              <w:pStyle w:val="Opstilling-talellerbogst"/>
              <w:numPr>
                <w:ilvl w:val="0"/>
                <w:numId w:val="25"/>
              </w:numPr>
              <w:ind w:left="360"/>
            </w:pPr>
            <w:r>
              <w:rPr>
                <w:u w:val="single"/>
              </w:rPr>
              <w:t>T</w:t>
            </w:r>
            <w:r w:rsidR="009F3302" w:rsidRPr="00D8309B">
              <w:rPr>
                <w:u w:val="single"/>
              </w:rPr>
              <w:t>ypen af virksomheden eller husdyrbruget</w:t>
            </w:r>
            <w:r w:rsidR="000C48BE" w:rsidRPr="00D8309B">
              <w:rPr>
                <w:u w:val="single"/>
              </w:rPr>
              <w:t xml:space="preserve"> m.v</w:t>
            </w:r>
            <w:r w:rsidR="009F3302" w:rsidRPr="00D8309B">
              <w:rPr>
                <w:u w:val="single"/>
              </w:rPr>
              <w:t>.</w:t>
            </w:r>
            <w:r w:rsidR="009F3302" w:rsidRPr="00D8309B">
              <w:t xml:space="preserve"> </w:t>
            </w:r>
            <w:r w:rsidR="00F40F35">
              <w:t xml:space="preserve">Her </w:t>
            </w:r>
            <w:r w:rsidR="00FB252C">
              <w:t xml:space="preserve">skal du </w:t>
            </w:r>
            <w:r w:rsidR="00F40F35">
              <w:t>oplyse</w:t>
            </w:r>
            <w:r w:rsidR="005377AE" w:rsidRPr="00315D17">
              <w:t xml:space="preserve"> </w:t>
            </w:r>
            <w:r w:rsidR="0038715C">
              <w:t xml:space="preserve">de </w:t>
            </w:r>
            <w:r w:rsidR="005377AE" w:rsidRPr="00315D17">
              <w:t>overordnede aktiviteter</w:t>
            </w:r>
            <w:r w:rsidR="00FB252C">
              <w:t>,</w:t>
            </w:r>
            <w:r w:rsidR="005377AE" w:rsidRPr="00315D17">
              <w:t xml:space="preserve"> der forekommer på virksomheden eller husdyrbruget m.v.</w:t>
            </w:r>
            <w:r w:rsidR="009F3302" w:rsidRPr="00315D17">
              <w:t xml:space="preserve"> </w:t>
            </w:r>
            <w:r w:rsidR="005377AE" w:rsidRPr="00315D17">
              <w:t xml:space="preserve">Det kan ske ved angivelse af </w:t>
            </w:r>
            <w:r w:rsidR="009F3302" w:rsidRPr="00315D17">
              <w:t>branche</w:t>
            </w:r>
            <w:r w:rsidR="006D03B1">
              <w:t xml:space="preserve"> eller </w:t>
            </w:r>
            <w:r w:rsidR="00765C1C" w:rsidRPr="00315D17">
              <w:t>listepunkt</w:t>
            </w:r>
            <w:r w:rsidR="00343572">
              <w:t>s</w:t>
            </w:r>
            <w:r w:rsidR="00765C1C" w:rsidRPr="0045300D">
              <w:t>beskrivelse</w:t>
            </w:r>
            <w:r w:rsidR="0045300D">
              <w:t xml:space="preserve">, fx </w:t>
            </w:r>
            <w:r w:rsidR="00783CEF">
              <w:t>”F</w:t>
            </w:r>
            <w:r w:rsidR="0045300D">
              <w:t>remstilling</w:t>
            </w:r>
            <w:r w:rsidR="00783CEF">
              <w:t xml:space="preserve"> af gummivarer</w:t>
            </w:r>
            <w:r w:rsidR="0045300D">
              <w:t xml:space="preserve"> (E 205)</w:t>
            </w:r>
            <w:r w:rsidR="00783CEF">
              <w:t>”,</w:t>
            </w:r>
            <w:r w:rsidR="0045300D">
              <w:t xml:space="preserve"> </w:t>
            </w:r>
            <w:r w:rsidR="00783CEF">
              <w:t>”Savværk (E 77)</w:t>
            </w:r>
            <w:r w:rsidR="00421C81">
              <w:t xml:space="preserve"> med fyringsanlæg (G 201)</w:t>
            </w:r>
            <w:r w:rsidR="00783CEF">
              <w:t>” eller ”Fjerkræhold godkendt efter § 16 a”</w:t>
            </w:r>
            <w:r w:rsidR="0008463B">
              <w:t>.</w:t>
            </w:r>
          </w:p>
          <w:p w14:paraId="60E51785" w14:textId="33F576A7" w:rsidR="00BF6AEE" w:rsidRPr="00C53215" w:rsidRDefault="00BF6AEE" w:rsidP="00EC2402">
            <w:pPr>
              <w:pStyle w:val="Opstilling-talellerbogst"/>
              <w:numPr>
                <w:ilvl w:val="0"/>
                <w:numId w:val="0"/>
              </w:numPr>
              <w:ind w:left="-360"/>
            </w:pPr>
          </w:p>
          <w:p w14:paraId="481313BC" w14:textId="371FFFC8" w:rsidR="009F3302" w:rsidRDefault="00EC2402" w:rsidP="00EC2402">
            <w:pPr>
              <w:pStyle w:val="Opstilling-talellerbogst"/>
              <w:numPr>
                <w:ilvl w:val="0"/>
                <w:numId w:val="25"/>
              </w:numPr>
              <w:ind w:left="360"/>
              <w:rPr>
                <w:u w:val="single"/>
              </w:rPr>
            </w:pPr>
            <w:r>
              <w:rPr>
                <w:u w:val="single"/>
              </w:rPr>
              <w:t>D</w:t>
            </w:r>
            <w:r w:rsidR="009F3302" w:rsidRPr="00EC6F12">
              <w:rPr>
                <w:u w:val="single"/>
              </w:rPr>
              <w:t xml:space="preserve">ato for </w:t>
            </w:r>
            <w:r w:rsidR="005377AE">
              <w:rPr>
                <w:u w:val="single"/>
              </w:rPr>
              <w:t xml:space="preserve">tilsynsbesøgets </w:t>
            </w:r>
            <w:r w:rsidR="009F3302" w:rsidRPr="00EC6F12">
              <w:rPr>
                <w:u w:val="single"/>
              </w:rPr>
              <w:t>udførelse</w:t>
            </w:r>
            <w:r w:rsidR="00FC7C8E">
              <w:rPr>
                <w:u w:val="single"/>
              </w:rPr>
              <w:t>.</w:t>
            </w:r>
          </w:p>
          <w:p w14:paraId="20994556" w14:textId="00135511" w:rsidR="00BF6AEE" w:rsidRPr="00EC6F12" w:rsidRDefault="00BF6AEE" w:rsidP="00EC2402">
            <w:pPr>
              <w:pStyle w:val="Opstilling-talellerbogst"/>
              <w:numPr>
                <w:ilvl w:val="0"/>
                <w:numId w:val="0"/>
              </w:numPr>
              <w:rPr>
                <w:u w:val="single"/>
              </w:rPr>
            </w:pPr>
          </w:p>
          <w:p w14:paraId="1EE8DFCD" w14:textId="6240B5D6" w:rsidR="009F3302" w:rsidRPr="00EC2402" w:rsidRDefault="00FC7C8E" w:rsidP="00EC2402">
            <w:pPr>
              <w:pStyle w:val="Opstilling-talellerbogst"/>
              <w:numPr>
                <w:ilvl w:val="0"/>
                <w:numId w:val="25"/>
              </w:numPr>
              <w:ind w:left="360"/>
            </w:pPr>
            <w:r>
              <w:rPr>
                <w:u w:val="single"/>
              </w:rPr>
              <w:t>H</w:t>
            </w:r>
            <w:r w:rsidR="009F3302" w:rsidRPr="00EC2402">
              <w:rPr>
                <w:u w:val="single"/>
              </w:rPr>
              <w:t>vad der er ført tilsyn med</w:t>
            </w:r>
            <w:r w:rsidR="009F3302" w:rsidRPr="00EC2402">
              <w:t xml:space="preserve">, fx om tilsynet </w:t>
            </w:r>
            <w:r w:rsidR="00765C1C" w:rsidRPr="00EC2402">
              <w:t xml:space="preserve">har omfattet alle </w:t>
            </w:r>
            <w:r w:rsidR="008626AC" w:rsidRPr="00EC2402">
              <w:t>virksomhedens/husdyrbrugets</w:t>
            </w:r>
            <w:r w:rsidR="0038715C" w:rsidRPr="00EC2402">
              <w:t xml:space="preserve"> m.v.</w:t>
            </w:r>
            <w:r w:rsidR="008626AC" w:rsidRPr="00EC2402">
              <w:t xml:space="preserve"> </w:t>
            </w:r>
            <w:r w:rsidR="00765C1C" w:rsidRPr="00EC2402">
              <w:t>miljøforhold (</w:t>
            </w:r>
            <w:r w:rsidR="009F3302" w:rsidRPr="00EC2402">
              <w:rPr>
                <w:color w:val="00B050"/>
              </w:rPr>
              <w:t>basistilsyn</w:t>
            </w:r>
            <w:r w:rsidR="005C1B6C" w:rsidRPr="00EC2402">
              <w:rPr>
                <w:color w:val="00B050"/>
              </w:rPr>
              <w:t xml:space="preserve"> (4.1.1)</w:t>
            </w:r>
            <w:r w:rsidR="00765C1C" w:rsidRPr="00EC2402">
              <w:t>)</w:t>
            </w:r>
            <w:r w:rsidR="009F3302" w:rsidRPr="00EC2402">
              <w:t xml:space="preserve"> eller</w:t>
            </w:r>
            <w:r w:rsidR="00997EBC" w:rsidRPr="00EC2402">
              <w:t>,</w:t>
            </w:r>
            <w:r w:rsidR="009F3302" w:rsidRPr="00EC2402">
              <w:t xml:space="preserve"> </w:t>
            </w:r>
            <w:r w:rsidR="00D91B86" w:rsidRPr="00EC2402">
              <w:t>hvilke</w:t>
            </w:r>
            <w:r w:rsidR="009F3302" w:rsidRPr="00EC2402">
              <w:t xml:space="preserve"> udvalgte forhold</w:t>
            </w:r>
            <w:r w:rsidR="008626AC" w:rsidRPr="00EC2402">
              <w:t xml:space="preserve"> eller delaktiviteter</w:t>
            </w:r>
            <w:r w:rsidR="00D91B86" w:rsidRPr="00EC2402">
              <w:t xml:space="preserve"> der er ført tilsyn med</w:t>
            </w:r>
            <w:r w:rsidR="008626AC" w:rsidRPr="00EC2402">
              <w:t xml:space="preserve">. </w:t>
            </w:r>
            <w:r w:rsidR="00D00CF1" w:rsidRPr="00EC2402">
              <w:t>Der kan fx være ført tilsyn med virksomhedens energianlæg, virksomhedens støj- og luftemissioner eller med husdyrbrugets håndtering af gødning</w:t>
            </w:r>
            <w:r w:rsidR="0008463B" w:rsidRPr="00EC2402">
              <w:t>.</w:t>
            </w:r>
          </w:p>
          <w:p w14:paraId="6FB6DDD8" w14:textId="4E6D56C7" w:rsidR="00BF6AEE" w:rsidRPr="00EC2402" w:rsidRDefault="00BF6AEE" w:rsidP="00EC2402">
            <w:pPr>
              <w:pStyle w:val="Opstilling-talellerbogst"/>
              <w:numPr>
                <w:ilvl w:val="0"/>
                <w:numId w:val="0"/>
              </w:numPr>
            </w:pPr>
          </w:p>
          <w:p w14:paraId="00A40FFD" w14:textId="7F51DDF5" w:rsidR="00B160E6" w:rsidRPr="00EC2402" w:rsidRDefault="00FC7C8E" w:rsidP="00EC2402">
            <w:pPr>
              <w:pStyle w:val="Opstilling-talellerbogst"/>
              <w:numPr>
                <w:ilvl w:val="0"/>
                <w:numId w:val="25"/>
              </w:numPr>
              <w:ind w:left="360"/>
              <w:rPr>
                <w:b/>
              </w:rPr>
            </w:pPr>
            <w:r>
              <w:rPr>
                <w:u w:val="single"/>
              </w:rPr>
              <w:t>O</w:t>
            </w:r>
            <w:r w:rsidR="009F3302" w:rsidRPr="00EC2402">
              <w:rPr>
                <w:u w:val="single"/>
              </w:rPr>
              <w:t>m der er konstateret jordforurening, hvis det er relevant</w:t>
            </w:r>
            <w:r w:rsidR="00765C1C" w:rsidRPr="00EC2402">
              <w:rPr>
                <w:u w:val="single"/>
              </w:rPr>
              <w:t>.</w:t>
            </w:r>
            <w:r w:rsidR="00765C1C" w:rsidRPr="00EC2402">
              <w:t xml:space="preserve"> </w:t>
            </w:r>
            <w:r w:rsidR="005A0C05" w:rsidRPr="00EC2402">
              <w:t xml:space="preserve">Tilsyn med overholdelse af jordforureningsloven er ikke en del af miljøtilsynet, jf. § 1, stk. 3, men hvis du på et miljøtilsyn konstaterer </w:t>
            </w:r>
            <w:r w:rsidR="00421C81" w:rsidRPr="00EC2402">
              <w:t xml:space="preserve">forhold, der giver mistanke om </w:t>
            </w:r>
            <w:r w:rsidR="007D7AEB" w:rsidRPr="00EC2402">
              <w:t>en jordforurening, skal du oplys</w:t>
            </w:r>
            <w:r w:rsidR="006D03B1" w:rsidRPr="00EC2402">
              <w:t>e</w:t>
            </w:r>
            <w:r w:rsidR="007D7AEB" w:rsidRPr="00EC2402">
              <w:t xml:space="preserve"> </w:t>
            </w:r>
            <w:r w:rsidR="0008463B" w:rsidRPr="00EC2402">
              <w:t>om det</w:t>
            </w:r>
            <w:r w:rsidR="00D91B86" w:rsidRPr="00EC2402">
              <w:t xml:space="preserve"> i rapporten</w:t>
            </w:r>
            <w:r w:rsidR="007D7AEB" w:rsidRPr="00EC2402">
              <w:t>. Den videre sagsbehandling, herunder evt</w:t>
            </w:r>
            <w:r w:rsidR="00091F3E" w:rsidRPr="00EC2402">
              <w:t>.</w:t>
            </w:r>
            <w:r w:rsidR="007D7AEB" w:rsidRPr="00EC2402">
              <w:t xml:space="preserve"> håndhævelse med hjemmel i jordforureningsloven, skal </w:t>
            </w:r>
            <w:r w:rsidR="006D03B1" w:rsidRPr="00EC2402">
              <w:t xml:space="preserve">du </w:t>
            </w:r>
            <w:r w:rsidR="007D7AEB" w:rsidRPr="00EC2402">
              <w:t>derimod ikke afgive oplysninger om på DMA</w:t>
            </w:r>
            <w:r w:rsidR="00091F3E" w:rsidRPr="00EC2402">
              <w:t>, jf. § 12, stk. 4</w:t>
            </w:r>
            <w:r w:rsidR="007D7AEB" w:rsidRPr="00EC2402">
              <w:t xml:space="preserve">. </w:t>
            </w:r>
            <w:r w:rsidR="00B160E6" w:rsidRPr="00EC2402">
              <w:t xml:space="preserve">Du kan læse mere om forholdet mellem miljøtilsynsbekendtgørelsen og jordforureningsloven i afsnittet </w:t>
            </w:r>
            <w:r w:rsidR="003757DE" w:rsidRPr="00EC2402">
              <w:rPr>
                <w:color w:val="00B050"/>
              </w:rPr>
              <w:t>”</w:t>
            </w:r>
            <w:r w:rsidR="00B160E6" w:rsidRPr="00EC2402">
              <w:rPr>
                <w:color w:val="00B050"/>
              </w:rPr>
              <w:t>Forholdet til jordforureningsloven</w:t>
            </w:r>
            <w:r w:rsidR="003757DE" w:rsidRPr="00414EB8">
              <w:rPr>
                <w:color w:val="00B050"/>
              </w:rPr>
              <w:t>”</w:t>
            </w:r>
            <w:r w:rsidR="00B160E6" w:rsidRPr="00414EB8">
              <w:rPr>
                <w:color w:val="00B050"/>
              </w:rPr>
              <w:t xml:space="preserve"> </w:t>
            </w:r>
            <w:r w:rsidR="00B160E6" w:rsidRPr="00EC2402">
              <w:rPr>
                <w:color w:val="00B050"/>
              </w:rPr>
              <w:t>(4.2.1.1)</w:t>
            </w:r>
            <w:r w:rsidR="004469C6">
              <w:t>.</w:t>
            </w:r>
          </w:p>
          <w:p w14:paraId="44711789" w14:textId="0E94E1B8" w:rsidR="00BF6AEE" w:rsidRPr="00C53215" w:rsidRDefault="00BF6AEE" w:rsidP="00EC2402">
            <w:pPr>
              <w:pStyle w:val="Opstilling-talellerbogst"/>
              <w:numPr>
                <w:ilvl w:val="0"/>
                <w:numId w:val="0"/>
              </w:numPr>
            </w:pPr>
          </w:p>
          <w:p w14:paraId="00F0F3D2" w14:textId="0AC3BDA7" w:rsidR="009F3302" w:rsidRDefault="00FC7C8E" w:rsidP="00EC2402">
            <w:pPr>
              <w:pStyle w:val="Opstilling-talellerbogst"/>
              <w:numPr>
                <w:ilvl w:val="0"/>
                <w:numId w:val="25"/>
              </w:numPr>
              <w:ind w:left="360"/>
            </w:pPr>
            <w:r>
              <w:rPr>
                <w:u w:val="single"/>
              </w:rPr>
              <w:t>O</w:t>
            </w:r>
            <w:r w:rsidR="009F3302" w:rsidRPr="00EC6F12">
              <w:rPr>
                <w:u w:val="single"/>
              </w:rPr>
              <w:t xml:space="preserve">m der er meddelt påbud, forbud eller </w:t>
            </w:r>
            <w:r w:rsidR="009F3302" w:rsidRPr="00D8309B">
              <w:rPr>
                <w:u w:val="single"/>
              </w:rPr>
              <w:t>indskærpelser</w:t>
            </w:r>
            <w:r w:rsidR="009F3302" w:rsidRPr="00315D17">
              <w:rPr>
                <w:u w:val="single"/>
              </w:rPr>
              <w:t xml:space="preserve"> til virksomheden eller husdyrbruget m.v.</w:t>
            </w:r>
            <w:r w:rsidR="00C762E4">
              <w:t xml:space="preserve">, altså om tilsynet har </w:t>
            </w:r>
            <w:r w:rsidR="00F54C84">
              <w:t>afstedkommet</w:t>
            </w:r>
            <w:r w:rsidR="00C762E4">
              <w:t xml:space="preserve"> håndhævelser. </w:t>
            </w:r>
            <w:r w:rsidR="00C04A01">
              <w:t>O</w:t>
            </w:r>
            <w:r w:rsidR="00366257">
              <w:t>plysningerne</w:t>
            </w:r>
            <w:r w:rsidR="00C04A01">
              <w:t>,</w:t>
            </w:r>
            <w:r w:rsidR="00366257">
              <w:t xml:space="preserve"> der offentliggøres om tilsynet, skal beskrive </w:t>
            </w:r>
            <w:r w:rsidR="00366257" w:rsidRPr="00701384">
              <w:rPr>
                <w:i/>
              </w:rPr>
              <w:t xml:space="preserve">om </w:t>
            </w:r>
            <w:r w:rsidR="00C04A01">
              <w:t xml:space="preserve">de </w:t>
            </w:r>
            <w:r w:rsidR="00366257">
              <w:t>love, regler og afgørelser, der er genstand for tilsynet overholdes, jf</w:t>
            </w:r>
            <w:r w:rsidR="00C04A01">
              <w:t>.</w:t>
            </w:r>
            <w:r w:rsidR="00366257">
              <w:t xml:space="preserve"> § 11, stk</w:t>
            </w:r>
            <w:r w:rsidR="00C04A01">
              <w:t>.</w:t>
            </w:r>
            <w:r w:rsidR="00366257">
              <w:t xml:space="preserve"> 1.</w:t>
            </w:r>
            <w:r w:rsidR="00C04A01">
              <w:t xml:space="preserve"> Derfor bør det også angives, </w:t>
            </w:r>
            <w:r w:rsidR="00C04A01" w:rsidRPr="00701384">
              <w:rPr>
                <w:i/>
              </w:rPr>
              <w:t>hvilke</w:t>
            </w:r>
            <w:r w:rsidR="00C04A01">
              <w:t xml:space="preserve"> forhold der er håndhævet. </w:t>
            </w:r>
            <w:r w:rsidR="00576544">
              <w:t xml:space="preserve">Læs </w:t>
            </w:r>
            <w:r w:rsidR="00576544">
              <w:lastRenderedPageBreak/>
              <w:t>mere om</w:t>
            </w:r>
            <w:r w:rsidR="00997EBC">
              <w:t>,</w:t>
            </w:r>
            <w:r w:rsidR="00576544">
              <w:t xml:space="preserve"> hvilke håndhævelser </w:t>
            </w:r>
            <w:r w:rsidR="00B053B6">
              <w:t>m.v.</w:t>
            </w:r>
            <w:r w:rsidR="00576544">
              <w:t xml:space="preserve"> der skal afgives oplysninger om i afsnittet </w:t>
            </w:r>
            <w:r w:rsidR="003757DE">
              <w:t>”</w:t>
            </w:r>
            <w:r w:rsidR="00576544" w:rsidRPr="00576544">
              <w:rPr>
                <w:color w:val="00B050"/>
              </w:rPr>
              <w:t>Henstillinger, håndhævelser, selvhjælpshandlinger og politianmeldelser</w:t>
            </w:r>
            <w:r w:rsidR="003757DE" w:rsidRPr="00414EB8">
              <w:rPr>
                <w:color w:val="00B050"/>
              </w:rPr>
              <w:t>”</w:t>
            </w:r>
            <w:r w:rsidR="00576544" w:rsidRPr="00414EB8">
              <w:rPr>
                <w:color w:val="00B050"/>
              </w:rPr>
              <w:t xml:space="preserve"> </w:t>
            </w:r>
            <w:r w:rsidR="00576544" w:rsidRPr="00EC2402">
              <w:rPr>
                <w:color w:val="00B050"/>
              </w:rPr>
              <w:t>(3.5.4)</w:t>
            </w:r>
            <w:r w:rsidR="00414EB8">
              <w:t>.</w:t>
            </w:r>
          </w:p>
          <w:p w14:paraId="7C626BCE" w14:textId="236EC20A" w:rsidR="00BF6AEE" w:rsidRPr="00C53215" w:rsidRDefault="00BF6AEE" w:rsidP="00EC2402">
            <w:pPr>
              <w:pStyle w:val="Opstilling-talellerbogst"/>
              <w:numPr>
                <w:ilvl w:val="0"/>
                <w:numId w:val="0"/>
              </w:numPr>
            </w:pPr>
          </w:p>
          <w:p w14:paraId="36C67131" w14:textId="50729D72" w:rsidR="009F3302" w:rsidRPr="00C762E4" w:rsidRDefault="00FC7C8E" w:rsidP="00EC2402">
            <w:pPr>
              <w:pStyle w:val="Opstilling-talellerbogst"/>
              <w:numPr>
                <w:ilvl w:val="0"/>
                <w:numId w:val="25"/>
              </w:numPr>
              <w:ind w:left="360"/>
            </w:pPr>
            <w:r>
              <w:rPr>
                <w:u w:val="single"/>
              </w:rPr>
              <w:t>K</w:t>
            </w:r>
            <w:r w:rsidR="009F3302" w:rsidRPr="00EC6F12">
              <w:rPr>
                <w:u w:val="single"/>
              </w:rPr>
              <w:t xml:space="preserve">onklusioner på virksomhedens eller husdyrbrugets </w:t>
            </w:r>
            <w:r w:rsidR="00C04A01">
              <w:rPr>
                <w:u w:val="single"/>
              </w:rPr>
              <w:t xml:space="preserve">m.v. </w:t>
            </w:r>
            <w:r w:rsidR="009F3302" w:rsidRPr="00EC6F12">
              <w:rPr>
                <w:u w:val="single"/>
              </w:rPr>
              <w:t xml:space="preserve">seneste indberetninger om </w:t>
            </w:r>
            <w:r w:rsidR="009F3302" w:rsidRPr="00D8309B">
              <w:rPr>
                <w:u w:val="single"/>
              </w:rPr>
              <w:t>egenkontrol</w:t>
            </w:r>
            <w:r w:rsidR="009F3302" w:rsidRPr="00315D17">
              <w:rPr>
                <w:u w:val="single"/>
              </w:rPr>
              <w:t xml:space="preserve">, herunder om tilsynsmyndigheden på </w:t>
            </w:r>
            <w:r w:rsidR="0008463B">
              <w:rPr>
                <w:u w:val="single"/>
              </w:rPr>
              <w:t xml:space="preserve">den </w:t>
            </w:r>
            <w:r w:rsidR="009F3302" w:rsidRPr="00315D17">
              <w:rPr>
                <w:u w:val="single"/>
              </w:rPr>
              <w:t>baggrund har meddelt påbud, forbud eller indskærpelser</w:t>
            </w:r>
            <w:r w:rsidR="009F3302" w:rsidRPr="00C53215">
              <w:t>.</w:t>
            </w:r>
            <w:r w:rsidR="008158E4">
              <w:t xml:space="preserve"> </w:t>
            </w:r>
            <w:r w:rsidR="00C762E4">
              <w:t xml:space="preserve">Her skal du </w:t>
            </w:r>
            <w:r w:rsidR="00C04A01">
              <w:t xml:space="preserve">offentliggøre </w:t>
            </w:r>
            <w:r w:rsidR="00C762E4">
              <w:t xml:space="preserve">oplysninger om </w:t>
            </w:r>
            <w:r w:rsidR="00C04A01">
              <w:t xml:space="preserve">konklusionen på </w:t>
            </w:r>
            <w:r w:rsidR="00C762E4">
              <w:t>resultat</w:t>
            </w:r>
            <w:r w:rsidR="005C1B6C">
              <w:t xml:space="preserve"> af egenkontrol</w:t>
            </w:r>
            <w:r w:rsidR="00C762E4">
              <w:t xml:space="preserve">, </w:t>
            </w:r>
            <w:r w:rsidR="005C1B6C">
              <w:t xml:space="preserve">som </w:t>
            </w:r>
            <w:r w:rsidR="00C762E4">
              <w:t>virksomheden eller husdyrbruget m.v. har indsendt i perioden fra s</w:t>
            </w:r>
            <w:r w:rsidR="005B3B96">
              <w:t>eneste</w:t>
            </w:r>
            <w:r w:rsidR="00C762E4">
              <w:t xml:space="preserve"> </w:t>
            </w:r>
            <w:r w:rsidR="00C762E4" w:rsidRPr="00701384">
              <w:rPr>
                <w:color w:val="00B050"/>
              </w:rPr>
              <w:t xml:space="preserve">fysiske tilsyn </w:t>
            </w:r>
            <w:r w:rsidR="005C1B6C">
              <w:t xml:space="preserve">(4.1.1) </w:t>
            </w:r>
            <w:r w:rsidR="00C762E4">
              <w:t xml:space="preserve">frem til det aktuelle tilsyn. Konklusionen på egenkontrollen, fx om </w:t>
            </w:r>
            <w:r w:rsidR="00A570F3">
              <w:t>der er konstateret</w:t>
            </w:r>
            <w:r w:rsidR="00C762E4">
              <w:t xml:space="preserve"> overholdelse eller overskridelse af emissionsvilkår, skal suppl</w:t>
            </w:r>
            <w:r w:rsidR="005B3B96">
              <w:t>e</w:t>
            </w:r>
            <w:r w:rsidR="00C762E4">
              <w:t xml:space="preserve">res med oplysninger om </w:t>
            </w:r>
            <w:r w:rsidR="005B3B96">
              <w:t xml:space="preserve">eventuelle håndhævelser meddelt på baggrund af </w:t>
            </w:r>
            <w:r w:rsidR="00414EB8">
              <w:t xml:space="preserve">resultaterne af </w:t>
            </w:r>
            <w:r w:rsidR="008158E4">
              <w:t>egenkontrol</w:t>
            </w:r>
            <w:r w:rsidR="00414EB8">
              <w:t>len.</w:t>
            </w:r>
          </w:p>
          <w:p w14:paraId="4BA8981E" w14:textId="77777777" w:rsidR="00996E19" w:rsidRPr="00C47930" w:rsidRDefault="00996E19" w:rsidP="001C7AA3">
            <w:pPr>
              <w:pStyle w:val="Opstilling-talellerbogst"/>
              <w:numPr>
                <w:ilvl w:val="0"/>
                <w:numId w:val="0"/>
              </w:numPr>
              <w:ind w:left="360"/>
            </w:pPr>
          </w:p>
          <w:p w14:paraId="05E93C16" w14:textId="104BBF80" w:rsidR="00C20599" w:rsidRPr="00C47930" w:rsidRDefault="005B3B96" w:rsidP="00C20599">
            <w:r w:rsidRPr="00C47930">
              <w:t>Ud over de 8 oplysningskrav, jf. § 11,</w:t>
            </w:r>
            <w:r w:rsidR="009F3302" w:rsidRPr="00C47930">
              <w:t xml:space="preserve"> </w:t>
            </w:r>
            <w:r w:rsidR="009D1CF4" w:rsidRPr="00C47930">
              <w:t xml:space="preserve">stk. 1, </w:t>
            </w:r>
            <w:r w:rsidR="009F3302" w:rsidRPr="001B7BD1">
              <w:rPr>
                <w:b/>
              </w:rPr>
              <w:t>kan</w:t>
            </w:r>
            <w:r w:rsidR="009F3302" w:rsidRPr="00C47930">
              <w:t xml:space="preserve"> </w:t>
            </w:r>
            <w:r w:rsidR="005C1B6C" w:rsidRPr="00C47930">
              <w:t>en tilsyns</w:t>
            </w:r>
            <w:r w:rsidR="009B4A1A" w:rsidRPr="00C47930">
              <w:t xml:space="preserve">rapport </w:t>
            </w:r>
            <w:r w:rsidR="000B1075" w:rsidRPr="00C47930">
              <w:t>indeholde</w:t>
            </w:r>
            <w:r w:rsidR="009F3302" w:rsidRPr="00C47930">
              <w:t xml:space="preserve"> </w:t>
            </w:r>
            <w:r w:rsidR="009B4A1A" w:rsidRPr="00C47930">
              <w:t xml:space="preserve">oplysninger om </w:t>
            </w:r>
            <w:r w:rsidR="00091F3E" w:rsidRPr="00C47930">
              <w:t xml:space="preserve">fx </w:t>
            </w:r>
            <w:r w:rsidR="009B4A1A" w:rsidRPr="00C47930">
              <w:t>opfølgning på seneste tilsyn,</w:t>
            </w:r>
            <w:r w:rsidR="009F3302" w:rsidRPr="00C47930">
              <w:t xml:space="preserve"> </w:t>
            </w:r>
            <w:r w:rsidR="001C7AA3" w:rsidRPr="00C47930">
              <w:t xml:space="preserve">uddybende </w:t>
            </w:r>
            <w:r w:rsidR="009F3302" w:rsidRPr="00C47930">
              <w:t>oplysninger</w:t>
            </w:r>
            <w:r w:rsidR="001C7AA3" w:rsidRPr="00C47930">
              <w:t xml:space="preserve"> </w:t>
            </w:r>
            <w:r w:rsidR="009B4A1A" w:rsidRPr="00C47930">
              <w:t>om</w:t>
            </w:r>
            <w:r w:rsidR="001C7AA3" w:rsidRPr="00C47930">
              <w:t xml:space="preserve"> relevante miljø-, indretnings- og driftsforhold og </w:t>
            </w:r>
            <w:r w:rsidR="0038715C" w:rsidRPr="00C47930">
              <w:t>andre</w:t>
            </w:r>
            <w:r w:rsidR="009B4A1A" w:rsidRPr="00C47930">
              <w:t xml:space="preserve"> </w:t>
            </w:r>
            <w:r w:rsidR="001C7AA3" w:rsidRPr="00C47930">
              <w:t>oplysninger</w:t>
            </w:r>
            <w:r w:rsidR="009B4A1A" w:rsidRPr="00C47930">
              <w:t>,</w:t>
            </w:r>
            <w:r w:rsidR="001C7AA3" w:rsidRPr="00C47930">
              <w:t xml:space="preserve"> </w:t>
            </w:r>
            <w:r w:rsidR="009F3302" w:rsidRPr="00C47930">
              <w:t>som kan være relevante for virksomheden</w:t>
            </w:r>
            <w:r w:rsidR="0038715C" w:rsidRPr="00C47930">
              <w:t xml:space="preserve"> eller husdyrbruget m.v.</w:t>
            </w:r>
            <w:r w:rsidR="009B4A1A" w:rsidRPr="00C47930">
              <w:t xml:space="preserve"> </w:t>
            </w:r>
            <w:r w:rsidR="0008463B">
              <w:t xml:space="preserve">Det kan </w:t>
            </w:r>
            <w:r w:rsidR="009B4A1A" w:rsidRPr="00C47930">
              <w:t>fx</w:t>
            </w:r>
            <w:r w:rsidR="009F3302" w:rsidRPr="00C47930">
              <w:t xml:space="preserve"> </w:t>
            </w:r>
            <w:r w:rsidR="0008463B">
              <w:t xml:space="preserve">være </w:t>
            </w:r>
            <w:r w:rsidR="009F3302" w:rsidRPr="00C47930">
              <w:t xml:space="preserve">oplysninger om ny lovgivning, ændret planstatus i virksomhedens omgivelser, generelle branchetiltag eller lignende. </w:t>
            </w:r>
          </w:p>
          <w:p w14:paraId="694B8B3B" w14:textId="3BE7D98A" w:rsidR="00C20599" w:rsidRDefault="00C20599" w:rsidP="00C20599"/>
          <w:p w14:paraId="551901AB" w14:textId="52CFBE2D" w:rsidR="00564BF7" w:rsidRDefault="00564BF7" w:rsidP="00564BF7">
            <w:pPr>
              <w:pStyle w:val="Underoverskrift"/>
              <w:rPr>
                <w:b w:val="0"/>
                <w:color w:val="00B050"/>
              </w:rPr>
            </w:pPr>
            <w:r w:rsidRPr="00C20599">
              <w:rPr>
                <w:b w:val="0"/>
              </w:rPr>
              <w:t>I afsnittet</w:t>
            </w:r>
            <w:r>
              <w:rPr>
                <w:b w:val="0"/>
                <w:color w:val="00B050"/>
              </w:rPr>
              <w:t xml:space="preserve"> </w:t>
            </w:r>
            <w:r w:rsidR="003757DE">
              <w:rPr>
                <w:b w:val="0"/>
                <w:color w:val="00B050"/>
              </w:rPr>
              <w:t>”</w:t>
            </w:r>
            <w:r w:rsidR="00343572">
              <w:rPr>
                <w:b w:val="0"/>
                <w:color w:val="00B050"/>
              </w:rPr>
              <w:t xml:space="preserve">Begrænsninger i afgivelse og offentliggørelse af oplysninger </w:t>
            </w:r>
            <w:r w:rsidR="003B7B9C">
              <w:rPr>
                <w:b w:val="0"/>
                <w:color w:val="00B050"/>
              </w:rPr>
              <w:t>–</w:t>
            </w:r>
            <w:r w:rsidR="00343572">
              <w:rPr>
                <w:b w:val="0"/>
                <w:color w:val="00B050"/>
              </w:rPr>
              <w:t xml:space="preserve"> </w:t>
            </w:r>
            <w:r w:rsidR="003B7B9C">
              <w:rPr>
                <w:b w:val="0"/>
                <w:color w:val="00B050"/>
              </w:rPr>
              <w:t>Oplysninger om tilsyn</w:t>
            </w:r>
            <w:r w:rsidR="003757DE">
              <w:rPr>
                <w:b w:val="0"/>
                <w:color w:val="00B050"/>
              </w:rPr>
              <w:t>”</w:t>
            </w:r>
            <w:r>
              <w:rPr>
                <w:b w:val="0"/>
                <w:color w:val="00B050"/>
              </w:rPr>
              <w:t xml:space="preserve"> </w:t>
            </w:r>
            <w:r w:rsidRPr="00EC2402">
              <w:rPr>
                <w:b w:val="0"/>
                <w:color w:val="00B050"/>
              </w:rPr>
              <w:t xml:space="preserve">(3.7.5) </w:t>
            </w:r>
            <w:r>
              <w:rPr>
                <w:b w:val="0"/>
              </w:rPr>
              <w:t>kan du læse om, hvad du som myndighed skal være særlig opmærksom på, når du offentliggør oplysninger om tilsynet</w:t>
            </w:r>
            <w:r w:rsidR="0008463B">
              <w:rPr>
                <w:b w:val="0"/>
              </w:rPr>
              <w:t>. Afsnittet beskriver</w:t>
            </w:r>
            <w:r w:rsidR="004B5AD0">
              <w:rPr>
                <w:b w:val="0"/>
              </w:rPr>
              <w:t>,</w:t>
            </w:r>
            <w:r>
              <w:rPr>
                <w:b w:val="0"/>
              </w:rPr>
              <w:t xml:space="preserve"> hvilke begrænsninger der</w:t>
            </w:r>
            <w:r w:rsidR="00C04A01">
              <w:rPr>
                <w:b w:val="0"/>
              </w:rPr>
              <w:t xml:space="preserve"> er</w:t>
            </w:r>
            <w:r>
              <w:rPr>
                <w:b w:val="0"/>
              </w:rPr>
              <w:t>, hvis du vælger at offen</w:t>
            </w:r>
            <w:r w:rsidR="00D91B86">
              <w:rPr>
                <w:b w:val="0"/>
              </w:rPr>
              <w:t>t</w:t>
            </w:r>
            <w:r>
              <w:rPr>
                <w:b w:val="0"/>
              </w:rPr>
              <w:t>liggøre tilsynsrapporter</w:t>
            </w:r>
            <w:r w:rsidR="00D91B86">
              <w:rPr>
                <w:b w:val="0"/>
              </w:rPr>
              <w:t>,</w:t>
            </w:r>
            <w:r>
              <w:rPr>
                <w:b w:val="0"/>
              </w:rPr>
              <w:t xml:space="preserve"> der indeholder oplysninger ud over minimumskravene</w:t>
            </w:r>
            <w:r w:rsidR="005C1B6C">
              <w:rPr>
                <w:b w:val="0"/>
              </w:rPr>
              <w:t>, jf. §</w:t>
            </w:r>
            <w:r w:rsidR="000626D3">
              <w:rPr>
                <w:b w:val="0"/>
              </w:rPr>
              <w:t xml:space="preserve"> </w:t>
            </w:r>
            <w:r w:rsidR="005C1B6C">
              <w:rPr>
                <w:b w:val="0"/>
              </w:rPr>
              <w:t>11, stk. 1</w:t>
            </w:r>
            <w:r>
              <w:rPr>
                <w:b w:val="0"/>
              </w:rPr>
              <w:t>.</w:t>
            </w:r>
          </w:p>
          <w:p w14:paraId="1C53DA86" w14:textId="569FCD34" w:rsidR="00071AC6" w:rsidRDefault="009F3302" w:rsidP="00EF0E55">
            <w:pPr>
              <w:rPr>
                <w:b/>
                <w:color w:val="000000" w:themeColor="text1"/>
              </w:rPr>
            </w:pPr>
            <w:r w:rsidRPr="00C53215">
              <w:br/>
            </w:r>
            <w:r w:rsidR="00071AC6" w:rsidRPr="00071AC6">
              <w:rPr>
                <w:b/>
                <w:color w:val="000000" w:themeColor="text1"/>
              </w:rPr>
              <w:t xml:space="preserve">Inden </w:t>
            </w:r>
            <w:r w:rsidR="00D20538">
              <w:rPr>
                <w:b/>
                <w:color w:val="000000" w:themeColor="text1"/>
              </w:rPr>
              <w:t>de udvalgte oplysnin</w:t>
            </w:r>
            <w:r w:rsidR="00735D10">
              <w:rPr>
                <w:b/>
                <w:color w:val="000000" w:themeColor="text1"/>
              </w:rPr>
              <w:t>g</w:t>
            </w:r>
            <w:r w:rsidR="00D20538">
              <w:rPr>
                <w:b/>
                <w:color w:val="000000" w:themeColor="text1"/>
              </w:rPr>
              <w:t>er</w:t>
            </w:r>
            <w:r w:rsidR="00071AC6" w:rsidRPr="00071AC6">
              <w:rPr>
                <w:b/>
                <w:color w:val="000000" w:themeColor="text1"/>
              </w:rPr>
              <w:t xml:space="preserve"> offentliggøres</w:t>
            </w:r>
          </w:p>
          <w:p w14:paraId="316E94F6" w14:textId="42F37C39" w:rsidR="00925CD1" w:rsidRDefault="00A10502" w:rsidP="00EF0E55">
            <w:pPr>
              <w:rPr>
                <w:color w:val="000000" w:themeColor="text1"/>
              </w:rPr>
            </w:pPr>
            <w:r w:rsidRPr="00D85568">
              <w:rPr>
                <w:color w:val="000000" w:themeColor="text1"/>
              </w:rPr>
              <w:t>I</w:t>
            </w:r>
            <w:r w:rsidR="00564BF7" w:rsidRPr="00D85568">
              <w:rPr>
                <w:color w:val="000000" w:themeColor="text1"/>
              </w:rPr>
              <w:t xml:space="preserve">nden </w:t>
            </w:r>
            <w:r w:rsidRPr="00D85568">
              <w:rPr>
                <w:color w:val="000000" w:themeColor="text1"/>
              </w:rPr>
              <w:t xml:space="preserve">du </w:t>
            </w:r>
            <w:r w:rsidR="00564BF7" w:rsidRPr="00D85568">
              <w:rPr>
                <w:color w:val="000000" w:themeColor="text1"/>
              </w:rPr>
              <w:t xml:space="preserve">offentliggør </w:t>
            </w:r>
            <w:r w:rsidR="00D91B86" w:rsidRPr="00D85568">
              <w:rPr>
                <w:color w:val="000000" w:themeColor="text1"/>
              </w:rPr>
              <w:t>oplysninger om tilsynet</w:t>
            </w:r>
            <w:r w:rsidRPr="00D85568">
              <w:rPr>
                <w:color w:val="000000" w:themeColor="text1"/>
              </w:rPr>
              <w:t xml:space="preserve">, skal virksomheden eller husdyrbruget m.v. </w:t>
            </w:r>
            <w:r w:rsidR="00D85568">
              <w:rPr>
                <w:color w:val="000000" w:themeColor="text1"/>
              </w:rPr>
              <w:t>orienteres</w:t>
            </w:r>
            <w:r w:rsidR="00D85568" w:rsidRPr="00D85568">
              <w:rPr>
                <w:color w:val="000000" w:themeColor="text1"/>
              </w:rPr>
              <w:t xml:space="preserve"> </w:t>
            </w:r>
            <w:r w:rsidR="00D91B86" w:rsidRPr="00D85568">
              <w:rPr>
                <w:color w:val="000000" w:themeColor="text1"/>
              </w:rPr>
              <w:t>om</w:t>
            </w:r>
            <w:r w:rsidR="00564BF7" w:rsidRPr="00D85568">
              <w:rPr>
                <w:color w:val="000000" w:themeColor="text1"/>
              </w:rPr>
              <w:t>,</w:t>
            </w:r>
            <w:r w:rsidR="00071AC6" w:rsidRPr="00D85568">
              <w:rPr>
                <w:color w:val="000000" w:themeColor="text1"/>
              </w:rPr>
              <w:t xml:space="preserve"> </w:t>
            </w:r>
            <w:r w:rsidR="00564BF7" w:rsidRPr="00D85568">
              <w:rPr>
                <w:color w:val="000000" w:themeColor="text1"/>
              </w:rPr>
              <w:t>hvilke oplysninger</w:t>
            </w:r>
            <w:r w:rsidR="00071AC6" w:rsidRPr="00D85568">
              <w:rPr>
                <w:color w:val="000000" w:themeColor="text1"/>
              </w:rPr>
              <w:t xml:space="preserve"> du agter at offentliggøre</w:t>
            </w:r>
            <w:r w:rsidR="00564BF7" w:rsidRPr="00D85568">
              <w:rPr>
                <w:color w:val="000000" w:themeColor="text1"/>
              </w:rPr>
              <w:t xml:space="preserve">. </w:t>
            </w:r>
            <w:r w:rsidR="00BD303B" w:rsidRPr="00D85568">
              <w:rPr>
                <w:color w:val="000000" w:themeColor="text1"/>
              </w:rPr>
              <w:t>Senest 2 måneder efter tilsynet har fundet sted,</w:t>
            </w:r>
            <w:r w:rsidR="00564BF7" w:rsidRPr="00D85568">
              <w:rPr>
                <w:color w:val="000000" w:themeColor="text1"/>
              </w:rPr>
              <w:t xml:space="preserve"> skal </w:t>
            </w:r>
            <w:r w:rsidR="00BD303B" w:rsidRPr="00D85568">
              <w:rPr>
                <w:color w:val="000000" w:themeColor="text1"/>
              </w:rPr>
              <w:t>du</w:t>
            </w:r>
            <w:r w:rsidR="00564BF7" w:rsidRPr="00D85568">
              <w:rPr>
                <w:color w:val="000000" w:themeColor="text1"/>
              </w:rPr>
              <w:t xml:space="preserve"> sende </w:t>
            </w:r>
            <w:r w:rsidR="006D03B1" w:rsidRPr="00D85568">
              <w:rPr>
                <w:color w:val="000000" w:themeColor="text1"/>
              </w:rPr>
              <w:t xml:space="preserve">udkast til </w:t>
            </w:r>
            <w:r w:rsidR="00D20538" w:rsidRPr="00D85568">
              <w:rPr>
                <w:color w:val="000000" w:themeColor="text1"/>
              </w:rPr>
              <w:t>tilsyns</w:t>
            </w:r>
            <w:r w:rsidR="00564BF7" w:rsidRPr="00D85568">
              <w:rPr>
                <w:color w:val="000000" w:themeColor="text1"/>
              </w:rPr>
              <w:t>rapporten til virksomheden eller husdyrbruget m.v.</w:t>
            </w:r>
            <w:r w:rsidR="00FC0F17" w:rsidRPr="00D85568">
              <w:rPr>
                <w:color w:val="000000" w:themeColor="text1"/>
              </w:rPr>
              <w:t xml:space="preserve"> </w:t>
            </w:r>
            <w:r w:rsidR="00D60D2C" w:rsidRPr="00D85568">
              <w:rPr>
                <w:color w:val="000000" w:themeColor="text1"/>
              </w:rPr>
              <w:t>til orientering</w:t>
            </w:r>
            <w:r w:rsidR="00FC0F17" w:rsidRPr="00D85568">
              <w:rPr>
                <w:color w:val="000000" w:themeColor="text1"/>
              </w:rPr>
              <w:t>.</w:t>
            </w:r>
            <w:r w:rsidR="00071AC6" w:rsidRPr="00D85568">
              <w:rPr>
                <w:color w:val="000000" w:themeColor="text1"/>
              </w:rPr>
              <w:t xml:space="preserve"> </w:t>
            </w:r>
            <w:r w:rsidR="004B5AD0" w:rsidRPr="00D85568">
              <w:rPr>
                <w:color w:val="000000" w:themeColor="text1"/>
              </w:rPr>
              <w:t>Samtidigt med at du sender tilsynsrapporten til virksomheden eller husdyrbruget, skal du gøre opmærksom på, hvilke oplysninger du agter at offentliggøre, o</w:t>
            </w:r>
            <w:r w:rsidR="001F1B75" w:rsidRPr="00D85568">
              <w:rPr>
                <w:color w:val="000000" w:themeColor="text1"/>
              </w:rPr>
              <w:t>g</w:t>
            </w:r>
            <w:r w:rsidR="004B5AD0" w:rsidRPr="00D85568">
              <w:rPr>
                <w:color w:val="000000" w:themeColor="text1"/>
              </w:rPr>
              <w:t xml:space="preserve"> at dette vil ske senest 4 måneder efter</w:t>
            </w:r>
            <w:r w:rsidR="007139C2" w:rsidRPr="00D85568">
              <w:rPr>
                <w:color w:val="000000" w:themeColor="text1"/>
              </w:rPr>
              <w:t>,</w:t>
            </w:r>
            <w:r w:rsidR="004B5AD0" w:rsidRPr="00D85568">
              <w:rPr>
                <w:color w:val="000000" w:themeColor="text1"/>
              </w:rPr>
              <w:t xml:space="preserve"> at </w:t>
            </w:r>
            <w:r w:rsidR="007139C2" w:rsidRPr="00D85568">
              <w:rPr>
                <w:color w:val="000000" w:themeColor="text1"/>
              </w:rPr>
              <w:t>tilsynet har fundet sted.</w:t>
            </w:r>
            <w:r w:rsidR="001F1B75" w:rsidRPr="00925CD1">
              <w:rPr>
                <w:color w:val="000000" w:themeColor="text1"/>
              </w:rPr>
              <w:t xml:space="preserve"> </w:t>
            </w:r>
          </w:p>
          <w:p w14:paraId="3C86F060" w14:textId="77777777" w:rsidR="00925CD1" w:rsidRDefault="00925CD1" w:rsidP="00EF0E55">
            <w:pPr>
              <w:rPr>
                <w:color w:val="000000" w:themeColor="text1"/>
              </w:rPr>
            </w:pPr>
          </w:p>
          <w:p w14:paraId="7917E04C" w14:textId="7A557C1A" w:rsidR="00071AC6" w:rsidRPr="00925CD1" w:rsidRDefault="0099268B" w:rsidP="00EF0E55">
            <w:r w:rsidRPr="00925CD1">
              <w:rPr>
                <w:color w:val="000000" w:themeColor="text1"/>
              </w:rPr>
              <w:t xml:space="preserve">Du kan læse mere i afsnittet </w:t>
            </w:r>
            <w:r w:rsidR="003757DE" w:rsidRPr="00925CD1">
              <w:rPr>
                <w:color w:val="000000" w:themeColor="text1"/>
              </w:rPr>
              <w:t>”</w:t>
            </w:r>
            <w:r w:rsidRPr="00925CD1">
              <w:rPr>
                <w:color w:val="00B050"/>
              </w:rPr>
              <w:t>Forudgående orientering af virksomheden eller husdyrbruget m.v. om offentliggørelsen</w:t>
            </w:r>
            <w:r w:rsidR="003757DE" w:rsidRPr="00925CD1">
              <w:rPr>
                <w:color w:val="00B050"/>
              </w:rPr>
              <w:t>”</w:t>
            </w:r>
            <w:r w:rsidR="00071AC6" w:rsidRPr="00925CD1">
              <w:rPr>
                <w:color w:val="00B050"/>
              </w:rPr>
              <w:t xml:space="preserve"> </w:t>
            </w:r>
            <w:r w:rsidRPr="00925CD1">
              <w:rPr>
                <w:color w:val="00B050"/>
              </w:rPr>
              <w:t>(</w:t>
            </w:r>
            <w:r w:rsidR="00071AC6" w:rsidRPr="00925CD1">
              <w:rPr>
                <w:color w:val="00B050"/>
              </w:rPr>
              <w:t>3.7</w:t>
            </w:r>
            <w:r w:rsidRPr="00925CD1">
              <w:rPr>
                <w:color w:val="00B050"/>
              </w:rPr>
              <w:t>.</w:t>
            </w:r>
            <w:r w:rsidR="00701384" w:rsidRPr="00925CD1">
              <w:rPr>
                <w:color w:val="00B050"/>
              </w:rPr>
              <w:t>3.1</w:t>
            </w:r>
            <w:r w:rsidRPr="00925CD1">
              <w:rPr>
                <w:color w:val="00B050"/>
              </w:rPr>
              <w:t>)</w:t>
            </w:r>
            <w:r w:rsidR="00701384" w:rsidRPr="00925CD1">
              <w:rPr>
                <w:color w:val="00B050"/>
              </w:rPr>
              <w:t>.</w:t>
            </w:r>
          </w:p>
          <w:p w14:paraId="485F2688" w14:textId="21662167" w:rsidR="00333882" w:rsidRDefault="00333882" w:rsidP="00EF0E55">
            <w:pPr>
              <w:rPr>
                <w:i/>
                <w:color w:val="000000" w:themeColor="text1"/>
              </w:rPr>
            </w:pPr>
          </w:p>
          <w:p w14:paraId="4EED1BBC" w14:textId="048428E8" w:rsidR="00333882" w:rsidRDefault="00333882" w:rsidP="00EF0E55">
            <w:pPr>
              <w:rPr>
                <w:b/>
                <w:color w:val="000000" w:themeColor="text1"/>
              </w:rPr>
            </w:pPr>
            <w:r>
              <w:rPr>
                <w:b/>
                <w:color w:val="000000" w:themeColor="text1"/>
              </w:rPr>
              <w:t>Selve offentliggørelsen</w:t>
            </w:r>
          </w:p>
          <w:p w14:paraId="7E6FD7D8" w14:textId="507F2E2D" w:rsidR="00BD303B" w:rsidRDefault="00BD303B" w:rsidP="00EF0E55">
            <w:pPr>
              <w:rPr>
                <w:color w:val="000000" w:themeColor="text1"/>
              </w:rPr>
            </w:pPr>
            <w:r>
              <w:rPr>
                <w:color w:val="000000" w:themeColor="text1"/>
              </w:rPr>
              <w:t xml:space="preserve">Offentliggørelse af </w:t>
            </w:r>
            <w:r w:rsidR="000D3287">
              <w:rPr>
                <w:color w:val="000000" w:themeColor="text1"/>
              </w:rPr>
              <w:t>de udvalgte oplysninger fra tilsynsrapporten</w:t>
            </w:r>
            <w:r>
              <w:rPr>
                <w:color w:val="000000" w:themeColor="text1"/>
              </w:rPr>
              <w:t xml:space="preserve"> skal ske senest 4 måneder efter, tilsynet har fundet sted, jf. § 12, stk. 1. </w:t>
            </w:r>
            <w:r w:rsidR="00D91B86">
              <w:rPr>
                <w:color w:val="000000" w:themeColor="text1"/>
              </w:rPr>
              <w:t xml:space="preserve">Offentliggørelse skal ske på </w:t>
            </w:r>
            <w:hyperlink r:id="rId18" w:history="1">
              <w:r w:rsidR="00D91B86" w:rsidRPr="000626D3">
                <w:rPr>
                  <w:rStyle w:val="Hyperlink"/>
                </w:rPr>
                <w:t>DMA</w:t>
              </w:r>
            </w:hyperlink>
            <w:r w:rsidR="00D91B86">
              <w:rPr>
                <w:color w:val="000000" w:themeColor="text1"/>
              </w:rPr>
              <w:t>.</w:t>
            </w:r>
          </w:p>
          <w:p w14:paraId="77FDE332" w14:textId="77777777" w:rsidR="00BD303B" w:rsidRDefault="00BD303B" w:rsidP="00EF0E55">
            <w:pPr>
              <w:rPr>
                <w:color w:val="000000" w:themeColor="text1"/>
              </w:rPr>
            </w:pPr>
          </w:p>
          <w:p w14:paraId="397632E6" w14:textId="4ACA1FC2" w:rsidR="00661388" w:rsidRDefault="00BD303B" w:rsidP="00EF0E55">
            <w:pPr>
              <w:rPr>
                <w:color w:val="000000" w:themeColor="text1"/>
              </w:rPr>
            </w:pPr>
            <w:r>
              <w:rPr>
                <w:color w:val="000000" w:themeColor="text1"/>
              </w:rPr>
              <w:t xml:space="preserve">I forbindelse med offentliggørelsen skal du orientere </w:t>
            </w:r>
            <w:r w:rsidR="00D91B86">
              <w:rPr>
                <w:color w:val="000000" w:themeColor="text1"/>
              </w:rPr>
              <w:t xml:space="preserve">offentligheden </w:t>
            </w:r>
            <w:r>
              <w:rPr>
                <w:color w:val="000000" w:themeColor="text1"/>
              </w:rPr>
              <w:t>om mulighed</w:t>
            </w:r>
            <w:r w:rsidR="00D91B86">
              <w:rPr>
                <w:color w:val="000000" w:themeColor="text1"/>
              </w:rPr>
              <w:t>en</w:t>
            </w:r>
            <w:r>
              <w:rPr>
                <w:color w:val="000000" w:themeColor="text1"/>
              </w:rPr>
              <w:t xml:space="preserve"> for aktindsigt</w:t>
            </w:r>
            <w:r w:rsidR="009D1CF4">
              <w:rPr>
                <w:color w:val="000000" w:themeColor="text1"/>
              </w:rPr>
              <w:t xml:space="preserve"> i de øvrige oplysninger, du </w:t>
            </w:r>
            <w:r w:rsidR="00414EB8">
              <w:rPr>
                <w:color w:val="000000" w:themeColor="text1"/>
              </w:rPr>
              <w:t xml:space="preserve">er i besiddelse af </w:t>
            </w:r>
            <w:r w:rsidR="009D1CF4">
              <w:rPr>
                <w:color w:val="000000" w:themeColor="text1"/>
              </w:rPr>
              <w:t>som tilsynsmyndighed</w:t>
            </w:r>
            <w:r w:rsidR="00661388">
              <w:rPr>
                <w:color w:val="000000" w:themeColor="text1"/>
              </w:rPr>
              <w:t xml:space="preserve">, </w:t>
            </w:r>
            <w:r w:rsidR="009D1CF4">
              <w:rPr>
                <w:color w:val="000000" w:themeColor="text1"/>
              </w:rPr>
              <w:t>efter reglerne i miljøoplysningsloven</w:t>
            </w:r>
            <w:r w:rsidR="00D91B86">
              <w:rPr>
                <w:color w:val="000000" w:themeColor="text1"/>
              </w:rPr>
              <w:t xml:space="preserve">. </w:t>
            </w:r>
            <w:r w:rsidR="00981E71">
              <w:rPr>
                <w:color w:val="000000" w:themeColor="text1"/>
              </w:rPr>
              <w:t xml:space="preserve">Det fremgår af </w:t>
            </w:r>
            <w:r w:rsidR="00661388">
              <w:rPr>
                <w:color w:val="000000" w:themeColor="text1"/>
              </w:rPr>
              <w:t xml:space="preserve">miljøtilsynsbekendtgørelsens </w:t>
            </w:r>
            <w:r w:rsidR="00981E71">
              <w:rPr>
                <w:color w:val="000000" w:themeColor="text1"/>
              </w:rPr>
              <w:t>§ 12, stk. 5.</w:t>
            </w:r>
          </w:p>
          <w:p w14:paraId="2CA86A4B" w14:textId="77777777" w:rsidR="00661388" w:rsidRDefault="00661388" w:rsidP="00EF0E55">
            <w:pPr>
              <w:rPr>
                <w:color w:val="000000" w:themeColor="text1"/>
              </w:rPr>
            </w:pPr>
          </w:p>
          <w:p w14:paraId="5D21F4E4" w14:textId="2C5D6EC0" w:rsidR="00333882" w:rsidRPr="00BD303B" w:rsidRDefault="00981E71" w:rsidP="00EF0E55">
            <w:pPr>
              <w:rPr>
                <w:b/>
                <w:color w:val="000000" w:themeColor="text1"/>
              </w:rPr>
            </w:pPr>
            <w:r>
              <w:rPr>
                <w:color w:val="000000" w:themeColor="text1"/>
              </w:rPr>
              <w:t xml:space="preserve">Miljøtilsynsbekendtgørelsen stiller ikke krav </w:t>
            </w:r>
            <w:r w:rsidR="00F47E29">
              <w:rPr>
                <w:color w:val="000000" w:themeColor="text1"/>
              </w:rPr>
              <w:t>til, hvordan du orienterer offentligheden</w:t>
            </w:r>
            <w:r>
              <w:rPr>
                <w:color w:val="000000" w:themeColor="text1"/>
              </w:rPr>
              <w:t xml:space="preserve">. </w:t>
            </w:r>
            <w:r w:rsidR="00EA3097">
              <w:rPr>
                <w:color w:val="000000" w:themeColor="text1"/>
              </w:rPr>
              <w:t xml:space="preserve">Orienteringen kan fx ske ved at anvende den skabelon, der ligger i </w:t>
            </w:r>
            <w:hyperlink r:id="rId19" w:history="1">
              <w:r w:rsidR="00EA3097" w:rsidRPr="000626D3">
                <w:rPr>
                  <w:rStyle w:val="Hyperlink"/>
                </w:rPr>
                <w:t>DMA</w:t>
              </w:r>
            </w:hyperlink>
            <w:r w:rsidR="00EA3097">
              <w:rPr>
                <w:color w:val="000000" w:themeColor="text1"/>
              </w:rPr>
              <w:t xml:space="preserve"> (se hvordan i </w:t>
            </w:r>
            <w:proofErr w:type="spellStart"/>
            <w:r w:rsidR="00EA3097">
              <w:rPr>
                <w:color w:val="000000" w:themeColor="text1"/>
              </w:rPr>
              <w:t>DMA´s</w:t>
            </w:r>
            <w:proofErr w:type="spellEnd"/>
            <w:r w:rsidR="00EA3097">
              <w:rPr>
                <w:color w:val="000000" w:themeColor="text1"/>
              </w:rPr>
              <w:t xml:space="preserve"> vejledning til ”Indlæs tilsyn”</w:t>
            </w:r>
            <w:r w:rsidR="00414EB8">
              <w:rPr>
                <w:color w:val="000000" w:themeColor="text1"/>
              </w:rPr>
              <w:t>, som du finder under "Vejledninger til indlæs data"</w:t>
            </w:r>
            <w:r w:rsidR="00EA3097">
              <w:rPr>
                <w:color w:val="000000" w:themeColor="text1"/>
              </w:rPr>
              <w:t xml:space="preserve">) eller ved at indsætte orienteringen i filen med </w:t>
            </w:r>
            <w:r w:rsidR="00EA3097">
              <w:t xml:space="preserve">udvalgte oplysninger fra tilsynsrapporten, der offentliggøres på </w:t>
            </w:r>
            <w:hyperlink r:id="rId20" w:history="1">
              <w:r w:rsidR="00EA3097" w:rsidRPr="000626D3">
                <w:rPr>
                  <w:rStyle w:val="Hyperlink"/>
                </w:rPr>
                <w:t>DMA</w:t>
              </w:r>
            </w:hyperlink>
            <w:r w:rsidR="00EA3097">
              <w:t>.</w:t>
            </w:r>
          </w:p>
          <w:p w14:paraId="61B3A3A9" w14:textId="649810F8" w:rsidR="00BD303B" w:rsidRDefault="00BD303B" w:rsidP="00EF0E55">
            <w:pPr>
              <w:rPr>
                <w:b/>
                <w:color w:val="000000" w:themeColor="text1"/>
              </w:rPr>
            </w:pPr>
          </w:p>
          <w:p w14:paraId="1B006B37" w14:textId="4719ADD9" w:rsidR="00E6332E" w:rsidRPr="00E6332E" w:rsidRDefault="00E6332E" w:rsidP="00EF0E55">
            <w:pPr>
              <w:rPr>
                <w:b/>
                <w:color w:val="000000" w:themeColor="text1"/>
              </w:rPr>
            </w:pPr>
            <w:r w:rsidRPr="00E6332E">
              <w:rPr>
                <w:b/>
                <w:color w:val="000000" w:themeColor="text1"/>
              </w:rPr>
              <w:t>Hvor længe skal de udvalgte oplysninger fra tilsynsrapporten være offentlig tilgængelige</w:t>
            </w:r>
            <w:r w:rsidR="004D4E43">
              <w:rPr>
                <w:b/>
                <w:color w:val="000000" w:themeColor="text1"/>
              </w:rPr>
              <w:t>?</w:t>
            </w:r>
          </w:p>
          <w:p w14:paraId="4012C2E3" w14:textId="7DE9364D" w:rsidR="00E6332E" w:rsidRDefault="00E6332E" w:rsidP="00E6332E">
            <w:pPr>
              <w:pStyle w:val="Opstilling-punkttegn"/>
              <w:numPr>
                <w:ilvl w:val="0"/>
                <w:numId w:val="0"/>
              </w:numPr>
            </w:pPr>
            <w:r>
              <w:t>Udvalgte oplysninger fra tilsynsrapporten (jf. § 11</w:t>
            </w:r>
            <w:r w:rsidR="00BD303B">
              <w:t>)</w:t>
            </w:r>
            <w:r>
              <w:t xml:space="preserve"> for den enkelte virksomhed eller husdyrbrug m.v. skal som </w:t>
            </w:r>
            <w:r w:rsidRPr="008207C2">
              <w:rPr>
                <w:i/>
              </w:rPr>
              <w:t>minimum</w:t>
            </w:r>
            <w:r>
              <w:t xml:space="preserve"> være offentlig tilgængelige for de seneste to </w:t>
            </w:r>
            <w:r w:rsidR="000D3287" w:rsidRPr="008901DA">
              <w:rPr>
                <w:color w:val="00B050"/>
              </w:rPr>
              <w:t xml:space="preserve">fysiske </w:t>
            </w:r>
            <w:r w:rsidRPr="008901DA">
              <w:rPr>
                <w:color w:val="00B050"/>
              </w:rPr>
              <w:t>tilsyn</w:t>
            </w:r>
            <w:r w:rsidR="00C47930">
              <w:rPr>
                <w:color w:val="00B050"/>
              </w:rPr>
              <w:t xml:space="preserve"> (4.1.7)</w:t>
            </w:r>
            <w:r>
              <w:t xml:space="preserve">. Det fremgår af § 13. </w:t>
            </w:r>
            <w:r w:rsidRPr="005B5907">
              <w:t xml:space="preserve">Ved myndighedens vurdering af, </w:t>
            </w:r>
            <w:r w:rsidR="00C47930">
              <w:t>om det er tilstrækkeligt, at der er offentliggjort oplysninger for de seneste to tilsyn,</w:t>
            </w:r>
            <w:r w:rsidRPr="005B5907">
              <w:t xml:space="preserve"> skal der </w:t>
            </w:r>
            <w:r>
              <w:t>indgå en overvejelse a</w:t>
            </w:r>
            <w:r w:rsidRPr="005B5907">
              <w:t xml:space="preserve">f, </w:t>
            </w:r>
            <w:r w:rsidR="00C47930">
              <w:t>hvad der er</w:t>
            </w:r>
            <w:r w:rsidRPr="005B5907">
              <w:t xml:space="preserve"> nødvendig</w:t>
            </w:r>
            <w:r w:rsidR="00C47930">
              <w:t>t</w:t>
            </w:r>
            <w:r w:rsidRPr="005B5907">
              <w:t xml:space="preserve"> for at give et så retvisende billede af virksomheden som muligt.</w:t>
            </w:r>
          </w:p>
          <w:p w14:paraId="2ACB6438" w14:textId="77777777" w:rsidR="00E6332E" w:rsidRDefault="00E6332E" w:rsidP="00E6332E">
            <w:pPr>
              <w:pStyle w:val="Opstilling-punkttegn"/>
              <w:numPr>
                <w:ilvl w:val="0"/>
                <w:numId w:val="0"/>
              </w:numPr>
            </w:pPr>
            <w:r w:rsidRPr="005B5907">
              <w:t xml:space="preserve"> </w:t>
            </w:r>
          </w:p>
          <w:p w14:paraId="0347316F" w14:textId="649EED30" w:rsidR="00EF0E55" w:rsidRDefault="00E6332E" w:rsidP="009F3302">
            <w:r>
              <w:t xml:space="preserve">Du skal være opmærksom på, at kravet om </w:t>
            </w:r>
            <w:r w:rsidR="00801B49">
              <w:t xml:space="preserve">at oplysninger om minimum de to seneste tilsynsbesøg skal være </w:t>
            </w:r>
            <w:r>
              <w:t>offentlig</w:t>
            </w:r>
            <w:r w:rsidR="00801B49">
              <w:t>t</w:t>
            </w:r>
            <w:r>
              <w:t xml:space="preserve"> tilgængelig</w:t>
            </w:r>
            <w:r w:rsidR="00801B49">
              <w:t>e</w:t>
            </w:r>
            <w:r>
              <w:t>, trådte i kraft den 7. januar 2014 for kategori 1a-virksomheder</w:t>
            </w:r>
            <w:r w:rsidR="00BD303B">
              <w:t xml:space="preserve"> og -hu</w:t>
            </w:r>
            <w:r>
              <w:t>sdyrbrug. For alle øvrige virksomheder og husdyrbrug m.v.</w:t>
            </w:r>
            <w:r w:rsidR="004D4E43">
              <w:t>, der er</w:t>
            </w:r>
            <w:r>
              <w:t xml:space="preserve"> </w:t>
            </w:r>
            <w:r>
              <w:rPr>
                <w:color w:val="00B050"/>
              </w:rPr>
              <w:t>omfattet af</w:t>
            </w:r>
            <w:r w:rsidRPr="006078E6">
              <w:rPr>
                <w:color w:val="00B050"/>
              </w:rPr>
              <w:t xml:space="preserve"> kravet om regelmæssige tilsyn</w:t>
            </w:r>
            <w:r>
              <w:rPr>
                <w:color w:val="00B050"/>
              </w:rPr>
              <w:t xml:space="preserve"> (4.3.1)</w:t>
            </w:r>
            <w:r w:rsidR="004D4E43">
              <w:rPr>
                <w:color w:val="00B050"/>
              </w:rPr>
              <w:t>,</w:t>
            </w:r>
            <w:r>
              <w:rPr>
                <w:color w:val="00B050"/>
              </w:rPr>
              <w:t xml:space="preserve"> </w:t>
            </w:r>
            <w:r w:rsidRPr="006078E6">
              <w:t xml:space="preserve">trådte kravet i kraft den </w:t>
            </w:r>
            <w:r>
              <w:t xml:space="preserve">7. juli 2016. Fra 1. maj 2016 skulle offentliggørelsen ske på </w:t>
            </w:r>
            <w:hyperlink r:id="rId21" w:history="1">
              <w:r w:rsidRPr="009160CB">
                <w:rPr>
                  <w:rStyle w:val="Hyperlink"/>
                </w:rPr>
                <w:t>DMA</w:t>
              </w:r>
            </w:hyperlink>
            <w:r w:rsidR="004D4E43">
              <w:t>.</w:t>
            </w:r>
            <w:r>
              <w:t xml:space="preserve"> </w:t>
            </w:r>
            <w:r w:rsidR="004D4E43">
              <w:t>I</w:t>
            </w:r>
            <w:r>
              <w:t xml:space="preserve">ndtil da blev </w:t>
            </w:r>
            <w:r w:rsidR="00C47930">
              <w:t xml:space="preserve">de udvalgte </w:t>
            </w:r>
            <w:r>
              <w:t xml:space="preserve">oplysninger offentliggjort på tilsynsmyndighederne respektive hjemmesider. Derfor kan der stadig være tilsynsoplysninger, der skal være tilgængelige på </w:t>
            </w:r>
            <w:r w:rsidR="00F47E29">
              <w:t>jeres egen</w:t>
            </w:r>
            <w:r>
              <w:t xml:space="preserve"> hjemmeside.</w:t>
            </w:r>
          </w:p>
          <w:p w14:paraId="1227AF58" w14:textId="1697D198" w:rsidR="00F278DB" w:rsidRPr="00F278DB" w:rsidRDefault="00F278DB" w:rsidP="00091F3E">
            <w:pPr>
              <w:rPr>
                <w:i/>
                <w:color w:val="FF0000"/>
                <w:sz w:val="16"/>
                <w:szCs w:val="16"/>
              </w:rPr>
            </w:pPr>
          </w:p>
        </w:tc>
      </w:tr>
      <w:tr w:rsidR="004008DD" w14:paraId="3BD2947C" w14:textId="77777777" w:rsidTr="00125B14">
        <w:tc>
          <w:tcPr>
            <w:tcW w:w="9628" w:type="dxa"/>
            <w:shd w:val="clear" w:color="auto" w:fill="auto"/>
          </w:tcPr>
          <w:p w14:paraId="6B89CE74" w14:textId="77777777" w:rsidR="00407B88" w:rsidRPr="003D129B" w:rsidRDefault="002534E3" w:rsidP="008D704D">
            <w:pPr>
              <w:pStyle w:val="Underoverskrift"/>
            </w:pPr>
            <w:r w:rsidRPr="003D129B">
              <w:lastRenderedPageBreak/>
              <w:t>Retsgrundlag</w:t>
            </w:r>
          </w:p>
          <w:p w14:paraId="514F6F4F" w14:textId="29081077" w:rsidR="002534E3" w:rsidRPr="004665A1" w:rsidRDefault="002534E3" w:rsidP="002534E3">
            <w:pPr>
              <w:rPr>
                <w:i/>
                <w:color w:val="808080" w:themeColor="background1" w:themeShade="80"/>
                <w:sz w:val="18"/>
                <w:szCs w:val="18"/>
              </w:rPr>
            </w:pPr>
            <w:r w:rsidRPr="004665A1">
              <w:rPr>
                <w:i/>
                <w:color w:val="808080" w:themeColor="background1" w:themeShade="80"/>
                <w:sz w:val="18"/>
                <w:szCs w:val="18"/>
              </w:rPr>
              <w:t xml:space="preserve">Miljøtilsynsbekendtgørelsen, </w:t>
            </w:r>
            <w:r w:rsidR="003D129B" w:rsidRPr="004665A1">
              <w:rPr>
                <w:i/>
                <w:color w:val="808080" w:themeColor="background1" w:themeShade="80"/>
                <w:sz w:val="18"/>
                <w:szCs w:val="18"/>
              </w:rPr>
              <w:t>Kapitel 3</w:t>
            </w:r>
            <w:r w:rsidRPr="004665A1">
              <w:rPr>
                <w:i/>
                <w:color w:val="808080" w:themeColor="background1" w:themeShade="80"/>
                <w:sz w:val="18"/>
                <w:szCs w:val="18"/>
              </w:rPr>
              <w:t>:</w:t>
            </w:r>
          </w:p>
          <w:p w14:paraId="4B2176EC" w14:textId="5C6A0223" w:rsidR="003D129B" w:rsidRDefault="003D129B" w:rsidP="003D129B">
            <w:pPr>
              <w:pStyle w:val="kapiteloverskrift2"/>
              <w:jc w:val="left"/>
              <w:rPr>
                <w:rFonts w:ascii="Times New Roman" w:hAnsi="Times New Roman" w:cs="Times New Roman"/>
                <w:i w:val="0"/>
                <w:color w:val="808080" w:themeColor="background1" w:themeShade="80"/>
                <w:sz w:val="18"/>
                <w:szCs w:val="18"/>
              </w:rPr>
            </w:pPr>
            <w:r w:rsidRPr="004665A1">
              <w:rPr>
                <w:rFonts w:ascii="Times New Roman" w:hAnsi="Times New Roman" w:cs="Times New Roman"/>
                <w:i w:val="0"/>
                <w:color w:val="808080" w:themeColor="background1" w:themeShade="80"/>
                <w:sz w:val="18"/>
                <w:szCs w:val="18"/>
              </w:rPr>
              <w:t>Tilsynsrapport, herunder offentliggørelse og frister</w:t>
            </w:r>
          </w:p>
          <w:p w14:paraId="5DDC2ADA" w14:textId="77777777" w:rsidR="003D129B" w:rsidRPr="004665A1" w:rsidRDefault="003D129B" w:rsidP="004665A1">
            <w:pPr>
              <w:pStyle w:val="kapiteloverskrift2"/>
              <w:spacing w:after="0"/>
              <w:jc w:val="left"/>
              <w:rPr>
                <w:rFonts w:ascii="Times New Roman" w:hAnsi="Times New Roman" w:cs="Times New Roman"/>
                <w:i w:val="0"/>
                <w:color w:val="808080" w:themeColor="background1" w:themeShade="80"/>
                <w:sz w:val="18"/>
                <w:szCs w:val="18"/>
              </w:rPr>
            </w:pPr>
            <w:r w:rsidRPr="004665A1">
              <w:rPr>
                <w:rFonts w:ascii="Times New Roman" w:hAnsi="Times New Roman" w:cs="Times New Roman"/>
                <w:b/>
                <w:bCs/>
                <w:i w:val="0"/>
                <w:color w:val="808080" w:themeColor="background1" w:themeShade="80"/>
                <w:sz w:val="18"/>
                <w:szCs w:val="18"/>
              </w:rPr>
              <w:t>§ 11.</w:t>
            </w:r>
            <w:r w:rsidRPr="004665A1">
              <w:rPr>
                <w:rFonts w:ascii="Times New Roman" w:hAnsi="Times New Roman" w:cs="Times New Roman"/>
                <w:i w:val="0"/>
                <w:color w:val="808080" w:themeColor="background1" w:themeShade="80"/>
                <w:sz w:val="18"/>
                <w:szCs w:val="18"/>
              </w:rPr>
              <w:t xml:space="preserve"> Tilsynsmyndigheden udarbejder efter hvert fysisk tilsyn på virksomheden eller husdyrbruget m.v. en tilsynsrapport, der beskriver, om virksomheden eller husdyrbruget m.v. overholder de love, regler og afgørelser, der er genstand for tilsyn. Tilsynsrapporten skal som minimum indeholde følgende oplysninger:</w:t>
            </w:r>
          </w:p>
          <w:p w14:paraId="6264D558"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1)</w:t>
            </w:r>
            <w:r w:rsidRPr="00DA17C5">
              <w:rPr>
                <w:rFonts w:ascii="Times New Roman" w:hAnsi="Times New Roman" w:cs="Times New Roman"/>
                <w:color w:val="808080" w:themeColor="background1" w:themeShade="80"/>
                <w:sz w:val="18"/>
                <w:szCs w:val="18"/>
              </w:rPr>
              <w:t xml:space="preserve"> Baggrunden for tilsynet.</w:t>
            </w:r>
          </w:p>
          <w:p w14:paraId="51597D3D"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2)</w:t>
            </w:r>
            <w:r w:rsidRPr="00DA17C5">
              <w:rPr>
                <w:rFonts w:ascii="Times New Roman" w:hAnsi="Times New Roman" w:cs="Times New Roman"/>
                <w:color w:val="808080" w:themeColor="background1" w:themeShade="80"/>
                <w:sz w:val="18"/>
                <w:szCs w:val="18"/>
              </w:rPr>
              <w:t xml:space="preserve"> Navn, adresse, CVR-nummer, eventuelt P-nummer og eventuelt CHR-nummer på virksomheden eller husdyrbruget m.v.</w:t>
            </w:r>
          </w:p>
          <w:p w14:paraId="7126790E"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3)</w:t>
            </w:r>
            <w:r w:rsidRPr="00DA17C5">
              <w:rPr>
                <w:rFonts w:ascii="Times New Roman" w:hAnsi="Times New Roman" w:cs="Times New Roman"/>
                <w:color w:val="808080" w:themeColor="background1" w:themeShade="80"/>
                <w:sz w:val="18"/>
                <w:szCs w:val="18"/>
              </w:rPr>
              <w:t xml:space="preserve"> Typen af virksomheden eller husdyrbruget m.v.</w:t>
            </w:r>
          </w:p>
          <w:p w14:paraId="6BFEFD81"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4)</w:t>
            </w:r>
            <w:r w:rsidRPr="00DA17C5">
              <w:rPr>
                <w:rFonts w:ascii="Times New Roman" w:hAnsi="Times New Roman" w:cs="Times New Roman"/>
                <w:color w:val="808080" w:themeColor="background1" w:themeShade="80"/>
                <w:sz w:val="18"/>
                <w:szCs w:val="18"/>
              </w:rPr>
              <w:t xml:space="preserve"> Dato for tilsynsbesøgets udførelse.</w:t>
            </w:r>
          </w:p>
          <w:p w14:paraId="30501B9A"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5)</w:t>
            </w:r>
            <w:r w:rsidRPr="00DA17C5">
              <w:rPr>
                <w:rFonts w:ascii="Times New Roman" w:hAnsi="Times New Roman" w:cs="Times New Roman"/>
                <w:color w:val="808080" w:themeColor="background1" w:themeShade="80"/>
                <w:sz w:val="18"/>
                <w:szCs w:val="18"/>
              </w:rPr>
              <w:t xml:space="preserve"> Hvad der er ført tilsyn med.</w:t>
            </w:r>
          </w:p>
          <w:p w14:paraId="0C3F9F6A"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6)</w:t>
            </w:r>
            <w:r w:rsidRPr="00DA17C5">
              <w:rPr>
                <w:rFonts w:ascii="Times New Roman" w:hAnsi="Times New Roman" w:cs="Times New Roman"/>
                <w:color w:val="808080" w:themeColor="background1" w:themeShade="80"/>
                <w:sz w:val="18"/>
                <w:szCs w:val="18"/>
              </w:rPr>
              <w:t xml:space="preserve"> Om der er konstateret jordforurening, hvis det er relevant.</w:t>
            </w:r>
          </w:p>
          <w:p w14:paraId="7FD36F62"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7)</w:t>
            </w:r>
            <w:r w:rsidRPr="00DA17C5">
              <w:rPr>
                <w:rFonts w:ascii="Times New Roman" w:hAnsi="Times New Roman" w:cs="Times New Roman"/>
                <w:color w:val="808080" w:themeColor="background1" w:themeShade="80"/>
                <w:sz w:val="18"/>
                <w:szCs w:val="18"/>
              </w:rPr>
              <w:t xml:space="preserve"> Om der er meddelt påbud, forbud eller indskærpelser til virksomheden eller husdyrbruget m.v.</w:t>
            </w:r>
          </w:p>
          <w:p w14:paraId="6D65068C" w14:textId="77777777" w:rsidR="003D129B" w:rsidRPr="00DA17C5" w:rsidRDefault="003D129B" w:rsidP="003D129B">
            <w:pPr>
              <w:pStyle w:val="liste1"/>
              <w:rPr>
                <w:rFonts w:ascii="Times New Roman" w:hAnsi="Times New Roman" w:cs="Times New Roman"/>
                <w:color w:val="808080" w:themeColor="background1" w:themeShade="80"/>
                <w:sz w:val="18"/>
                <w:szCs w:val="18"/>
              </w:rPr>
            </w:pPr>
            <w:r w:rsidRPr="00DA17C5">
              <w:rPr>
                <w:rStyle w:val="liste1nr1"/>
                <w:rFonts w:ascii="Times New Roman" w:hAnsi="Times New Roman" w:cs="Times New Roman"/>
                <w:color w:val="808080" w:themeColor="background1" w:themeShade="80"/>
                <w:sz w:val="18"/>
                <w:szCs w:val="18"/>
              </w:rPr>
              <w:t>8)</w:t>
            </w:r>
            <w:r w:rsidRPr="00DA17C5">
              <w:rPr>
                <w:rFonts w:ascii="Times New Roman" w:hAnsi="Times New Roman" w:cs="Times New Roman"/>
                <w:color w:val="808080" w:themeColor="background1" w:themeShade="80"/>
                <w:sz w:val="18"/>
                <w:szCs w:val="18"/>
              </w:rPr>
              <w:t xml:space="preserve"> Konklusioner på virksomhedens eller husdyrbrugets m.v. seneste indberetninger om egenkontrol, herunder om indberetningen har givet tilsynsmyndigheden anledning til at udstede påbud, forbud eller indskærpelser.</w:t>
            </w:r>
          </w:p>
          <w:p w14:paraId="57B9241E" w14:textId="77777777" w:rsidR="003D129B" w:rsidRPr="004665A1" w:rsidRDefault="003D129B" w:rsidP="004665A1">
            <w:pPr>
              <w:rPr>
                <w:color w:val="808080" w:themeColor="background1" w:themeShade="80"/>
                <w:sz w:val="18"/>
                <w:szCs w:val="18"/>
              </w:rPr>
            </w:pPr>
            <w:r w:rsidRPr="004665A1">
              <w:rPr>
                <w:iCs/>
                <w:color w:val="808080" w:themeColor="background1" w:themeShade="80"/>
                <w:sz w:val="18"/>
                <w:szCs w:val="18"/>
              </w:rPr>
              <w:t>Stk. 2.</w:t>
            </w:r>
            <w:r w:rsidRPr="004665A1">
              <w:rPr>
                <w:color w:val="808080" w:themeColor="background1" w:themeShade="80"/>
                <w:sz w:val="18"/>
                <w:szCs w:val="18"/>
              </w:rPr>
              <w:t xml:space="preserve"> Tilsynsmyndigheden sender tilsynsrapporten til virksomheden eller husdyrbruget m.v. senest to måneder efter, at tilsynsbesøget har fundet sted, og meddeler, hvilke oplysninger som agtes offentliggjort.</w:t>
            </w:r>
          </w:p>
          <w:p w14:paraId="74AB6518" w14:textId="77777777" w:rsidR="003D129B" w:rsidRPr="004665A1" w:rsidRDefault="003D129B" w:rsidP="004665A1">
            <w:pPr>
              <w:rPr>
                <w:color w:val="808080" w:themeColor="background1" w:themeShade="80"/>
                <w:sz w:val="18"/>
                <w:szCs w:val="18"/>
              </w:rPr>
            </w:pPr>
            <w:r w:rsidRPr="004665A1">
              <w:rPr>
                <w:iCs/>
                <w:color w:val="808080" w:themeColor="background1" w:themeShade="80"/>
                <w:sz w:val="18"/>
                <w:szCs w:val="18"/>
              </w:rPr>
              <w:t>Stk. 3.</w:t>
            </w:r>
            <w:r w:rsidRPr="004665A1">
              <w:rPr>
                <w:color w:val="808080" w:themeColor="background1" w:themeShade="80"/>
                <w:sz w:val="18"/>
                <w:szCs w:val="18"/>
              </w:rPr>
              <w:t xml:space="preserve"> Tilsynsmyndighedens offentliggørelse sker med undtagelse af de oplysninger, der vil kunne undtages fra aktindsigt efter reglerne i lov om aktindsigt i miljøoplysninger.</w:t>
            </w:r>
          </w:p>
          <w:p w14:paraId="6E522D85" w14:textId="77777777" w:rsidR="003D129B" w:rsidRPr="004665A1" w:rsidRDefault="003D129B" w:rsidP="004665A1">
            <w:pPr>
              <w:rPr>
                <w:color w:val="808080" w:themeColor="background1" w:themeShade="80"/>
                <w:sz w:val="18"/>
                <w:szCs w:val="18"/>
              </w:rPr>
            </w:pPr>
            <w:r w:rsidRPr="004665A1">
              <w:rPr>
                <w:b/>
                <w:bCs/>
                <w:color w:val="808080" w:themeColor="background1" w:themeShade="80"/>
                <w:sz w:val="18"/>
                <w:szCs w:val="18"/>
              </w:rPr>
              <w:t>§ 12.</w:t>
            </w:r>
            <w:r w:rsidRPr="004665A1">
              <w:rPr>
                <w:color w:val="808080" w:themeColor="background1" w:themeShade="80"/>
                <w:sz w:val="18"/>
                <w:szCs w:val="18"/>
              </w:rPr>
              <w:t xml:space="preserve"> Tilsynsmyndigheden offentliggør de oplysninger, der fremgår af § 11, stk. 1, nr. 1-8, samt dato for offentliggørelse med de begrænsninger, der følger af § 11, stk. 3, senest fire måneder efter, at tilsynsbesøget har fundet sted.</w:t>
            </w:r>
          </w:p>
          <w:p w14:paraId="61A9456B" w14:textId="77777777" w:rsidR="003D129B" w:rsidRPr="004665A1" w:rsidRDefault="003D129B" w:rsidP="004665A1">
            <w:pPr>
              <w:rPr>
                <w:color w:val="808080" w:themeColor="background1" w:themeShade="80"/>
                <w:sz w:val="18"/>
                <w:szCs w:val="18"/>
              </w:rPr>
            </w:pPr>
            <w:r w:rsidRPr="004665A1">
              <w:rPr>
                <w:iCs/>
                <w:color w:val="808080" w:themeColor="background1" w:themeShade="80"/>
                <w:sz w:val="18"/>
                <w:szCs w:val="18"/>
              </w:rPr>
              <w:t>Stk. 2.</w:t>
            </w:r>
            <w:r w:rsidRPr="004665A1">
              <w:rPr>
                <w:color w:val="808080" w:themeColor="background1" w:themeShade="80"/>
                <w:sz w:val="18"/>
                <w:szCs w:val="18"/>
              </w:rPr>
              <w:t xml:space="preserve"> Når tilsynsmyndigheden følger op på eventuelle påbud, forbud eller indskærpelser, offentliggøres konklusionen derpå.</w:t>
            </w:r>
          </w:p>
          <w:p w14:paraId="35D90EAF" w14:textId="77777777" w:rsidR="003D129B" w:rsidRPr="004665A1" w:rsidRDefault="003D129B" w:rsidP="004665A1">
            <w:pPr>
              <w:rPr>
                <w:color w:val="808080" w:themeColor="background1" w:themeShade="80"/>
                <w:sz w:val="18"/>
                <w:szCs w:val="18"/>
              </w:rPr>
            </w:pPr>
            <w:r w:rsidRPr="004665A1">
              <w:rPr>
                <w:iCs/>
                <w:color w:val="808080" w:themeColor="background1" w:themeShade="80"/>
                <w:sz w:val="18"/>
                <w:szCs w:val="18"/>
              </w:rPr>
              <w:t>Stk. 3.</w:t>
            </w:r>
            <w:r w:rsidRPr="004665A1">
              <w:rPr>
                <w:color w:val="808080" w:themeColor="background1" w:themeShade="80"/>
                <w:sz w:val="18"/>
                <w:szCs w:val="18"/>
              </w:rPr>
              <w:t xml:space="preserve"> Tilsynsmyndigheden offentliggør, hvis en afgørelse er påklaget. Når der efterfølgende er truffet en endelig administrativ afgørelse, offentliggør tilsynsmyndigheden resultatet heraf.</w:t>
            </w:r>
          </w:p>
          <w:p w14:paraId="6315303B" w14:textId="77777777" w:rsidR="003D129B" w:rsidRPr="004665A1" w:rsidRDefault="003D129B" w:rsidP="004665A1">
            <w:pPr>
              <w:rPr>
                <w:color w:val="808080" w:themeColor="background1" w:themeShade="80"/>
                <w:sz w:val="18"/>
                <w:szCs w:val="18"/>
              </w:rPr>
            </w:pPr>
            <w:r w:rsidRPr="004665A1">
              <w:rPr>
                <w:iCs/>
                <w:color w:val="808080" w:themeColor="background1" w:themeShade="80"/>
                <w:sz w:val="18"/>
                <w:szCs w:val="18"/>
              </w:rPr>
              <w:t>Stk. 4.</w:t>
            </w:r>
            <w:r w:rsidRPr="004665A1">
              <w:rPr>
                <w:color w:val="808080" w:themeColor="background1" w:themeShade="80"/>
                <w:sz w:val="18"/>
                <w:szCs w:val="18"/>
              </w:rPr>
              <w:t xml:space="preserve"> Tilsynsmyndigheden offentliggør ikke sagsbehandlingsskridt i forbindelse med varsling og meddelelse af påbud efter lov om forurenet jord.</w:t>
            </w:r>
          </w:p>
          <w:p w14:paraId="3EE82D69" w14:textId="77777777" w:rsidR="003D129B" w:rsidRPr="004665A1" w:rsidRDefault="003D129B" w:rsidP="004665A1">
            <w:pPr>
              <w:rPr>
                <w:color w:val="808080" w:themeColor="background1" w:themeShade="80"/>
                <w:sz w:val="18"/>
                <w:szCs w:val="18"/>
              </w:rPr>
            </w:pPr>
            <w:r w:rsidRPr="004665A1">
              <w:rPr>
                <w:iCs/>
                <w:color w:val="808080" w:themeColor="background1" w:themeShade="80"/>
                <w:sz w:val="18"/>
                <w:szCs w:val="18"/>
              </w:rPr>
              <w:t>Stk. 5.</w:t>
            </w:r>
            <w:r w:rsidRPr="004665A1">
              <w:rPr>
                <w:color w:val="808080" w:themeColor="background1" w:themeShade="80"/>
                <w:sz w:val="18"/>
                <w:szCs w:val="18"/>
              </w:rPr>
              <w:t xml:space="preserve"> Ved offentliggørelsen af de i § 11, stk. 1, nr. 1-8, nævnte oplysninger skal det oplyses, at enhver har ret til aktindsigt i de øvrige oplysninger, som tilsynsmyndigheden er i besiddelse af, med de begrænsninger, der følger af lov om aktindsigt i miljøoplysninger.</w:t>
            </w:r>
          </w:p>
          <w:p w14:paraId="6C22F726" w14:textId="7281A552" w:rsidR="003D129B" w:rsidRDefault="003D129B" w:rsidP="004665A1">
            <w:pPr>
              <w:rPr>
                <w:color w:val="808080" w:themeColor="background1" w:themeShade="80"/>
                <w:sz w:val="18"/>
                <w:szCs w:val="18"/>
              </w:rPr>
            </w:pPr>
            <w:r w:rsidRPr="004665A1">
              <w:rPr>
                <w:iCs/>
                <w:color w:val="808080" w:themeColor="background1" w:themeShade="80"/>
                <w:sz w:val="18"/>
                <w:szCs w:val="18"/>
              </w:rPr>
              <w:t>Stk. 6.</w:t>
            </w:r>
            <w:r w:rsidRPr="004665A1">
              <w:rPr>
                <w:color w:val="808080" w:themeColor="background1" w:themeShade="80"/>
                <w:sz w:val="18"/>
                <w:szCs w:val="18"/>
              </w:rPr>
              <w:t xml:space="preserve"> Offentliggørelse, jf. stk. 1-3 og stk. 5, skal ske ved anvendelse af den digitale løsning og i det format, som Miljøstyrelsen stiller til rådighed.</w:t>
            </w:r>
          </w:p>
          <w:p w14:paraId="72B031FF" w14:textId="77777777" w:rsidR="004665A1" w:rsidRPr="004665A1" w:rsidRDefault="004665A1" w:rsidP="004665A1">
            <w:pPr>
              <w:rPr>
                <w:color w:val="808080" w:themeColor="background1" w:themeShade="80"/>
                <w:sz w:val="18"/>
                <w:szCs w:val="18"/>
              </w:rPr>
            </w:pPr>
          </w:p>
          <w:p w14:paraId="14705D20" w14:textId="77777777" w:rsidR="003D129B" w:rsidRPr="004665A1" w:rsidRDefault="003D129B" w:rsidP="004665A1">
            <w:pPr>
              <w:rPr>
                <w:bCs/>
                <w:color w:val="808080" w:themeColor="background1" w:themeShade="80"/>
                <w:sz w:val="18"/>
                <w:szCs w:val="18"/>
              </w:rPr>
            </w:pPr>
            <w:r w:rsidRPr="004665A1">
              <w:rPr>
                <w:color w:val="808080" w:themeColor="background1" w:themeShade="80"/>
                <w:sz w:val="18"/>
                <w:szCs w:val="18"/>
              </w:rPr>
              <w:t>§ 13.</w:t>
            </w:r>
            <w:r w:rsidRPr="004665A1">
              <w:rPr>
                <w:bCs/>
                <w:color w:val="808080" w:themeColor="background1" w:themeShade="80"/>
                <w:sz w:val="18"/>
                <w:szCs w:val="18"/>
              </w:rPr>
              <w:t xml:space="preserve"> De oplysninger, der er nævnt i § 11, og som skal være offentligt tilgængelige, skal som minimum vedrøre de seneste to tilsynsbesøg.</w:t>
            </w:r>
          </w:p>
          <w:p w14:paraId="6DCF112B" w14:textId="1C8D7BA6" w:rsidR="002534E3" w:rsidRPr="003D129B" w:rsidRDefault="002534E3" w:rsidP="002534E3">
            <w:pPr>
              <w:rPr>
                <w:i/>
              </w:rPr>
            </w:pPr>
          </w:p>
        </w:tc>
      </w:tr>
    </w:tbl>
    <w:p w14:paraId="4150D940" w14:textId="77777777" w:rsidR="00E1298C" w:rsidRDefault="00E1298C" w:rsidP="002534E3"/>
    <w:sectPr w:rsidR="00E1298C" w:rsidSect="00846362">
      <w:footerReference w:type="default" r:id="rId22"/>
      <w:pgSz w:w="11906" w:h="16838"/>
      <w:pgMar w:top="1843"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F2A2E" w14:textId="77777777" w:rsidR="0050276A" w:rsidRDefault="0050276A" w:rsidP="002534E3">
      <w:r>
        <w:separator/>
      </w:r>
    </w:p>
  </w:endnote>
  <w:endnote w:type="continuationSeparator" w:id="0">
    <w:p w14:paraId="5078D6F6" w14:textId="77777777" w:rsidR="0050276A" w:rsidRDefault="0050276A"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9931731"/>
      <w:docPartObj>
        <w:docPartGallery w:val="Page Numbers (Bottom of Page)"/>
        <w:docPartUnique/>
      </w:docPartObj>
    </w:sdtPr>
    <w:sdtEndPr>
      <w:rPr>
        <w:sz w:val="18"/>
        <w:szCs w:val="18"/>
      </w:rPr>
    </w:sdtEndPr>
    <w:sdtContent>
      <w:p w14:paraId="4C3F832F" w14:textId="032B2818" w:rsidR="001A3EAB" w:rsidRDefault="001A3EAB">
        <w:pPr>
          <w:pStyle w:val="Sidefod"/>
          <w:jc w:val="center"/>
        </w:pPr>
        <w:r w:rsidRPr="001A3EAB">
          <w:rPr>
            <w:sz w:val="18"/>
            <w:szCs w:val="18"/>
          </w:rPr>
          <w:fldChar w:fldCharType="begin"/>
        </w:r>
        <w:r w:rsidRPr="001A3EAB">
          <w:rPr>
            <w:sz w:val="18"/>
            <w:szCs w:val="18"/>
          </w:rPr>
          <w:instrText>PAGE   \* MERGEFORMAT</w:instrText>
        </w:r>
        <w:r w:rsidRPr="001A3EAB">
          <w:rPr>
            <w:sz w:val="18"/>
            <w:szCs w:val="18"/>
          </w:rPr>
          <w:fldChar w:fldCharType="separate"/>
        </w:r>
        <w:r>
          <w:rPr>
            <w:noProof/>
            <w:sz w:val="18"/>
            <w:szCs w:val="18"/>
          </w:rPr>
          <w:t>4</w:t>
        </w:r>
        <w:r w:rsidRPr="001A3EAB">
          <w:rPr>
            <w:sz w:val="18"/>
            <w:szCs w:val="18"/>
          </w:rPr>
          <w:fldChar w:fldCharType="end"/>
        </w:r>
      </w:p>
    </w:sdtContent>
  </w:sdt>
  <w:p w14:paraId="06F72F4C" w14:textId="77777777" w:rsidR="00E81D6B" w:rsidRDefault="00E81D6B" w:rsidP="002534E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05F53" w14:textId="77777777" w:rsidR="0050276A" w:rsidRDefault="0050276A" w:rsidP="002534E3">
      <w:r>
        <w:separator/>
      </w:r>
    </w:p>
  </w:footnote>
  <w:footnote w:type="continuationSeparator" w:id="0">
    <w:p w14:paraId="67794563" w14:textId="77777777" w:rsidR="0050276A" w:rsidRDefault="0050276A" w:rsidP="002534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9456444A"/>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029531F"/>
    <w:multiLevelType w:val="hybridMultilevel"/>
    <w:tmpl w:val="07A6E7E8"/>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0B5C7A8E"/>
    <w:multiLevelType w:val="singleLevel"/>
    <w:tmpl w:val="0406000F"/>
    <w:lvl w:ilvl="0">
      <w:start w:val="1"/>
      <w:numFmt w:val="decimal"/>
      <w:lvlText w:val="%1."/>
      <w:lvlJc w:val="left"/>
      <w:pPr>
        <w:ind w:left="360" w:hanging="360"/>
      </w:pPr>
    </w:lvl>
  </w:abstractNum>
  <w:abstractNum w:abstractNumId="4" w15:restartNumberingAfterBreak="0">
    <w:nsid w:val="0BD75A0A"/>
    <w:multiLevelType w:val="multilevel"/>
    <w:tmpl w:val="FB84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F032B04"/>
    <w:multiLevelType w:val="multilevel"/>
    <w:tmpl w:val="09F2F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8" w15:restartNumberingAfterBreak="0">
    <w:nsid w:val="1812141D"/>
    <w:multiLevelType w:val="hybridMultilevel"/>
    <w:tmpl w:val="AB8A637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10"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11" w15:restartNumberingAfterBreak="0">
    <w:nsid w:val="2BEE7E0C"/>
    <w:multiLevelType w:val="singleLevel"/>
    <w:tmpl w:val="04060011"/>
    <w:lvl w:ilvl="0">
      <w:start w:val="1"/>
      <w:numFmt w:val="decimal"/>
      <w:lvlText w:val="%1)"/>
      <w:lvlJc w:val="left"/>
      <w:pPr>
        <w:ind w:left="360" w:hanging="360"/>
      </w:pPr>
    </w:lvl>
  </w:abstractNum>
  <w:abstractNum w:abstractNumId="12" w15:restartNumberingAfterBreak="0">
    <w:nsid w:val="41812760"/>
    <w:multiLevelType w:val="hybridMultilevel"/>
    <w:tmpl w:val="13F4E3D0"/>
    <w:lvl w:ilvl="0" w:tplc="1936AD18">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14" w15:restartNumberingAfterBreak="0">
    <w:nsid w:val="48D60BD6"/>
    <w:multiLevelType w:val="hybridMultilevel"/>
    <w:tmpl w:val="AB30E50E"/>
    <w:lvl w:ilvl="0" w:tplc="04060001">
      <w:start w:val="1"/>
      <w:numFmt w:val="bullet"/>
      <w:lvlText w:val=""/>
      <w:lvlJc w:val="left"/>
      <w:pPr>
        <w:ind w:left="777" w:hanging="360"/>
      </w:pPr>
      <w:rPr>
        <w:rFonts w:ascii="Symbol" w:hAnsi="Symbol" w:hint="default"/>
      </w:rPr>
    </w:lvl>
    <w:lvl w:ilvl="1" w:tplc="04060003" w:tentative="1">
      <w:start w:val="1"/>
      <w:numFmt w:val="bullet"/>
      <w:lvlText w:val="o"/>
      <w:lvlJc w:val="left"/>
      <w:pPr>
        <w:ind w:left="1497" w:hanging="360"/>
      </w:pPr>
      <w:rPr>
        <w:rFonts w:ascii="Courier New" w:hAnsi="Courier New" w:cs="Courier New" w:hint="default"/>
      </w:rPr>
    </w:lvl>
    <w:lvl w:ilvl="2" w:tplc="04060005" w:tentative="1">
      <w:start w:val="1"/>
      <w:numFmt w:val="bullet"/>
      <w:lvlText w:val=""/>
      <w:lvlJc w:val="left"/>
      <w:pPr>
        <w:ind w:left="2217" w:hanging="360"/>
      </w:pPr>
      <w:rPr>
        <w:rFonts w:ascii="Wingdings" w:hAnsi="Wingdings" w:hint="default"/>
      </w:rPr>
    </w:lvl>
    <w:lvl w:ilvl="3" w:tplc="04060001" w:tentative="1">
      <w:start w:val="1"/>
      <w:numFmt w:val="bullet"/>
      <w:lvlText w:val=""/>
      <w:lvlJc w:val="left"/>
      <w:pPr>
        <w:ind w:left="2937" w:hanging="360"/>
      </w:pPr>
      <w:rPr>
        <w:rFonts w:ascii="Symbol" w:hAnsi="Symbol" w:hint="default"/>
      </w:rPr>
    </w:lvl>
    <w:lvl w:ilvl="4" w:tplc="04060003" w:tentative="1">
      <w:start w:val="1"/>
      <w:numFmt w:val="bullet"/>
      <w:lvlText w:val="o"/>
      <w:lvlJc w:val="left"/>
      <w:pPr>
        <w:ind w:left="3657" w:hanging="360"/>
      </w:pPr>
      <w:rPr>
        <w:rFonts w:ascii="Courier New" w:hAnsi="Courier New" w:cs="Courier New" w:hint="default"/>
      </w:rPr>
    </w:lvl>
    <w:lvl w:ilvl="5" w:tplc="04060005" w:tentative="1">
      <w:start w:val="1"/>
      <w:numFmt w:val="bullet"/>
      <w:lvlText w:val=""/>
      <w:lvlJc w:val="left"/>
      <w:pPr>
        <w:ind w:left="4377" w:hanging="360"/>
      </w:pPr>
      <w:rPr>
        <w:rFonts w:ascii="Wingdings" w:hAnsi="Wingdings" w:hint="default"/>
      </w:rPr>
    </w:lvl>
    <w:lvl w:ilvl="6" w:tplc="04060001" w:tentative="1">
      <w:start w:val="1"/>
      <w:numFmt w:val="bullet"/>
      <w:lvlText w:val=""/>
      <w:lvlJc w:val="left"/>
      <w:pPr>
        <w:ind w:left="5097" w:hanging="360"/>
      </w:pPr>
      <w:rPr>
        <w:rFonts w:ascii="Symbol" w:hAnsi="Symbol" w:hint="default"/>
      </w:rPr>
    </w:lvl>
    <w:lvl w:ilvl="7" w:tplc="04060003" w:tentative="1">
      <w:start w:val="1"/>
      <w:numFmt w:val="bullet"/>
      <w:lvlText w:val="o"/>
      <w:lvlJc w:val="left"/>
      <w:pPr>
        <w:ind w:left="5817" w:hanging="360"/>
      </w:pPr>
      <w:rPr>
        <w:rFonts w:ascii="Courier New" w:hAnsi="Courier New" w:cs="Courier New" w:hint="default"/>
      </w:rPr>
    </w:lvl>
    <w:lvl w:ilvl="8" w:tplc="04060005" w:tentative="1">
      <w:start w:val="1"/>
      <w:numFmt w:val="bullet"/>
      <w:lvlText w:val=""/>
      <w:lvlJc w:val="left"/>
      <w:pPr>
        <w:ind w:left="6537" w:hanging="360"/>
      </w:pPr>
      <w:rPr>
        <w:rFonts w:ascii="Wingdings" w:hAnsi="Wingdings" w:hint="default"/>
      </w:rPr>
    </w:lvl>
  </w:abstractNum>
  <w:abstractNum w:abstractNumId="15"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89E7BB8"/>
    <w:multiLevelType w:val="hybridMultilevel"/>
    <w:tmpl w:val="28D8745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19"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20" w15:restartNumberingAfterBreak="0">
    <w:nsid w:val="67F57F27"/>
    <w:multiLevelType w:val="hybridMultilevel"/>
    <w:tmpl w:val="59CEA014"/>
    <w:lvl w:ilvl="0" w:tplc="7E5CF20C">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69763469"/>
    <w:multiLevelType w:val="hybridMultilevel"/>
    <w:tmpl w:val="B0CE4F2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23"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24"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16"/>
  </w:num>
  <w:num w:numId="3">
    <w:abstractNumId w:val="0"/>
  </w:num>
  <w:num w:numId="4">
    <w:abstractNumId w:val="9"/>
  </w:num>
  <w:num w:numId="5">
    <w:abstractNumId w:val="18"/>
  </w:num>
  <w:num w:numId="6">
    <w:abstractNumId w:val="15"/>
  </w:num>
  <w:num w:numId="7">
    <w:abstractNumId w:val="19"/>
  </w:num>
  <w:num w:numId="8">
    <w:abstractNumId w:val="23"/>
  </w:num>
  <w:num w:numId="9">
    <w:abstractNumId w:val="3"/>
  </w:num>
  <w:num w:numId="10">
    <w:abstractNumId w:val="24"/>
  </w:num>
  <w:num w:numId="11">
    <w:abstractNumId w:val="13"/>
  </w:num>
  <w:num w:numId="12">
    <w:abstractNumId w:val="10"/>
  </w:num>
  <w:num w:numId="13">
    <w:abstractNumId w:val="22"/>
  </w:num>
  <w:num w:numId="14">
    <w:abstractNumId w:val="7"/>
  </w:num>
  <w:num w:numId="15">
    <w:abstractNumId w:val="11"/>
  </w:num>
  <w:num w:numId="16">
    <w:abstractNumId w:val="5"/>
  </w:num>
  <w:num w:numId="17">
    <w:abstractNumId w:val="20"/>
  </w:num>
  <w:num w:numId="18">
    <w:abstractNumId w:val="4"/>
  </w:num>
  <w:num w:numId="19">
    <w:abstractNumId w:val="12"/>
  </w:num>
  <w:num w:numId="20">
    <w:abstractNumId w:val="14"/>
  </w:num>
  <w:num w:numId="21">
    <w:abstractNumId w:val="6"/>
  </w:num>
  <w:num w:numId="22">
    <w:abstractNumId w:val="2"/>
  </w:num>
  <w:num w:numId="23">
    <w:abstractNumId w:val="8"/>
  </w:num>
  <w:num w:numId="24">
    <w:abstractNumId w:val="1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17B02"/>
    <w:rsid w:val="00024142"/>
    <w:rsid w:val="000279F0"/>
    <w:rsid w:val="00035AD1"/>
    <w:rsid w:val="000466F2"/>
    <w:rsid w:val="0004771A"/>
    <w:rsid w:val="00056381"/>
    <w:rsid w:val="000626D3"/>
    <w:rsid w:val="000672E7"/>
    <w:rsid w:val="00071AC6"/>
    <w:rsid w:val="000808BA"/>
    <w:rsid w:val="0008463B"/>
    <w:rsid w:val="00085024"/>
    <w:rsid w:val="00085A9B"/>
    <w:rsid w:val="00087436"/>
    <w:rsid w:val="00091F3E"/>
    <w:rsid w:val="00093EAE"/>
    <w:rsid w:val="000950CB"/>
    <w:rsid w:val="000A1300"/>
    <w:rsid w:val="000A2B1F"/>
    <w:rsid w:val="000B1075"/>
    <w:rsid w:val="000C3C5B"/>
    <w:rsid w:val="000C48BE"/>
    <w:rsid w:val="000D0994"/>
    <w:rsid w:val="000D3287"/>
    <w:rsid w:val="000E2A09"/>
    <w:rsid w:val="000E4632"/>
    <w:rsid w:val="000F1B6B"/>
    <w:rsid w:val="000F2235"/>
    <w:rsid w:val="000F2C8B"/>
    <w:rsid w:val="00100FE8"/>
    <w:rsid w:val="00110323"/>
    <w:rsid w:val="00110701"/>
    <w:rsid w:val="00114906"/>
    <w:rsid w:val="00117026"/>
    <w:rsid w:val="001258B3"/>
    <w:rsid w:val="00125B14"/>
    <w:rsid w:val="00144223"/>
    <w:rsid w:val="00153006"/>
    <w:rsid w:val="00157052"/>
    <w:rsid w:val="00181F87"/>
    <w:rsid w:val="001840E5"/>
    <w:rsid w:val="00196510"/>
    <w:rsid w:val="0019793B"/>
    <w:rsid w:val="001A3EAB"/>
    <w:rsid w:val="001B56FA"/>
    <w:rsid w:val="001B7BD1"/>
    <w:rsid w:val="001C3A37"/>
    <w:rsid w:val="001C7AA3"/>
    <w:rsid w:val="001D6666"/>
    <w:rsid w:val="001E0470"/>
    <w:rsid w:val="001E1738"/>
    <w:rsid w:val="001F1B75"/>
    <w:rsid w:val="001F4279"/>
    <w:rsid w:val="0022377A"/>
    <w:rsid w:val="002244D9"/>
    <w:rsid w:val="0022649C"/>
    <w:rsid w:val="002409EB"/>
    <w:rsid w:val="002507FF"/>
    <w:rsid w:val="00252A74"/>
    <w:rsid w:val="002534E3"/>
    <w:rsid w:val="002552FE"/>
    <w:rsid w:val="002567B7"/>
    <w:rsid w:val="00266991"/>
    <w:rsid w:val="00283075"/>
    <w:rsid w:val="00295EA8"/>
    <w:rsid w:val="002A6695"/>
    <w:rsid w:val="002A6D0B"/>
    <w:rsid w:val="002D172D"/>
    <w:rsid w:val="002E7021"/>
    <w:rsid w:val="002F168A"/>
    <w:rsid w:val="002F233F"/>
    <w:rsid w:val="002F459F"/>
    <w:rsid w:val="002F7392"/>
    <w:rsid w:val="00314478"/>
    <w:rsid w:val="00315D17"/>
    <w:rsid w:val="00327A23"/>
    <w:rsid w:val="00333882"/>
    <w:rsid w:val="003367D7"/>
    <w:rsid w:val="00343572"/>
    <w:rsid w:val="00353175"/>
    <w:rsid w:val="00362FC1"/>
    <w:rsid w:val="00366257"/>
    <w:rsid w:val="00367BA4"/>
    <w:rsid w:val="00371E75"/>
    <w:rsid w:val="003747A2"/>
    <w:rsid w:val="003757DE"/>
    <w:rsid w:val="00377873"/>
    <w:rsid w:val="0038715C"/>
    <w:rsid w:val="003B331B"/>
    <w:rsid w:val="003B6D6F"/>
    <w:rsid w:val="003B7B9C"/>
    <w:rsid w:val="003D129B"/>
    <w:rsid w:val="003E395D"/>
    <w:rsid w:val="003E5078"/>
    <w:rsid w:val="003F02BC"/>
    <w:rsid w:val="003F0EB1"/>
    <w:rsid w:val="003F60CC"/>
    <w:rsid w:val="004008DD"/>
    <w:rsid w:val="00403BA7"/>
    <w:rsid w:val="00407B88"/>
    <w:rsid w:val="00414EB8"/>
    <w:rsid w:val="0041735B"/>
    <w:rsid w:val="00421C81"/>
    <w:rsid w:val="004405B9"/>
    <w:rsid w:val="004455CC"/>
    <w:rsid w:val="004469C6"/>
    <w:rsid w:val="00451B18"/>
    <w:rsid w:val="0045300D"/>
    <w:rsid w:val="00453214"/>
    <w:rsid w:val="00456C4D"/>
    <w:rsid w:val="00457D36"/>
    <w:rsid w:val="00465256"/>
    <w:rsid w:val="004665A1"/>
    <w:rsid w:val="00466B50"/>
    <w:rsid w:val="0049583B"/>
    <w:rsid w:val="004A0343"/>
    <w:rsid w:val="004B5AD0"/>
    <w:rsid w:val="004D4E43"/>
    <w:rsid w:val="004D7ABE"/>
    <w:rsid w:val="004E26DE"/>
    <w:rsid w:val="004E52C8"/>
    <w:rsid w:val="004F2F9C"/>
    <w:rsid w:val="0050114F"/>
    <w:rsid w:val="00501C81"/>
    <w:rsid w:val="0050276A"/>
    <w:rsid w:val="00514433"/>
    <w:rsid w:val="00522CFB"/>
    <w:rsid w:val="005365C5"/>
    <w:rsid w:val="005377AE"/>
    <w:rsid w:val="005400CC"/>
    <w:rsid w:val="00547CB1"/>
    <w:rsid w:val="00564BF7"/>
    <w:rsid w:val="00576544"/>
    <w:rsid w:val="00581701"/>
    <w:rsid w:val="00581750"/>
    <w:rsid w:val="005838A7"/>
    <w:rsid w:val="005A0C05"/>
    <w:rsid w:val="005B3B96"/>
    <w:rsid w:val="005B7463"/>
    <w:rsid w:val="005C1B6C"/>
    <w:rsid w:val="005C4231"/>
    <w:rsid w:val="005D645E"/>
    <w:rsid w:val="005F2A5E"/>
    <w:rsid w:val="005F4400"/>
    <w:rsid w:val="00600644"/>
    <w:rsid w:val="0060688D"/>
    <w:rsid w:val="0061613C"/>
    <w:rsid w:val="006425D7"/>
    <w:rsid w:val="006518C7"/>
    <w:rsid w:val="00661388"/>
    <w:rsid w:val="0066642B"/>
    <w:rsid w:val="00667B7F"/>
    <w:rsid w:val="00671CF2"/>
    <w:rsid w:val="006834D5"/>
    <w:rsid w:val="00691983"/>
    <w:rsid w:val="006952E9"/>
    <w:rsid w:val="006B4059"/>
    <w:rsid w:val="006B773E"/>
    <w:rsid w:val="006C1CC8"/>
    <w:rsid w:val="006C23E2"/>
    <w:rsid w:val="006D03B1"/>
    <w:rsid w:val="006D3122"/>
    <w:rsid w:val="006E24B1"/>
    <w:rsid w:val="006F00F3"/>
    <w:rsid w:val="00701384"/>
    <w:rsid w:val="00706EC4"/>
    <w:rsid w:val="007139C2"/>
    <w:rsid w:val="00720FDB"/>
    <w:rsid w:val="0073144C"/>
    <w:rsid w:val="00732D29"/>
    <w:rsid w:val="00735D10"/>
    <w:rsid w:val="00736FB6"/>
    <w:rsid w:val="00741DFF"/>
    <w:rsid w:val="00741F9A"/>
    <w:rsid w:val="0074305F"/>
    <w:rsid w:val="007601ED"/>
    <w:rsid w:val="007613A3"/>
    <w:rsid w:val="00762121"/>
    <w:rsid w:val="007637F9"/>
    <w:rsid w:val="00765C1C"/>
    <w:rsid w:val="00775558"/>
    <w:rsid w:val="00783CEF"/>
    <w:rsid w:val="00786EF1"/>
    <w:rsid w:val="00793D43"/>
    <w:rsid w:val="0079574D"/>
    <w:rsid w:val="007A62C7"/>
    <w:rsid w:val="007C49C2"/>
    <w:rsid w:val="007C5BC9"/>
    <w:rsid w:val="007C721C"/>
    <w:rsid w:val="007C726E"/>
    <w:rsid w:val="007C77C6"/>
    <w:rsid w:val="007D12BF"/>
    <w:rsid w:val="007D7AEB"/>
    <w:rsid w:val="007E0A6A"/>
    <w:rsid w:val="007E33AE"/>
    <w:rsid w:val="007E60B4"/>
    <w:rsid w:val="007F6104"/>
    <w:rsid w:val="00801B49"/>
    <w:rsid w:val="00806A51"/>
    <w:rsid w:val="008158E4"/>
    <w:rsid w:val="00834C35"/>
    <w:rsid w:val="00837380"/>
    <w:rsid w:val="00846362"/>
    <w:rsid w:val="008576C9"/>
    <w:rsid w:val="008626AC"/>
    <w:rsid w:val="008636C3"/>
    <w:rsid w:val="00867A6C"/>
    <w:rsid w:val="008737CE"/>
    <w:rsid w:val="00881255"/>
    <w:rsid w:val="008901DA"/>
    <w:rsid w:val="008A05F3"/>
    <w:rsid w:val="008A77E7"/>
    <w:rsid w:val="008B1190"/>
    <w:rsid w:val="008B23F8"/>
    <w:rsid w:val="008B26CA"/>
    <w:rsid w:val="008B3210"/>
    <w:rsid w:val="008B54D0"/>
    <w:rsid w:val="008C3F97"/>
    <w:rsid w:val="008C418B"/>
    <w:rsid w:val="008D6B64"/>
    <w:rsid w:val="008D704D"/>
    <w:rsid w:val="008E049E"/>
    <w:rsid w:val="009027A9"/>
    <w:rsid w:val="00905069"/>
    <w:rsid w:val="00912B09"/>
    <w:rsid w:val="009160CB"/>
    <w:rsid w:val="00923F81"/>
    <w:rsid w:val="00925CD1"/>
    <w:rsid w:val="009408C3"/>
    <w:rsid w:val="00966117"/>
    <w:rsid w:val="00977721"/>
    <w:rsid w:val="00977D7C"/>
    <w:rsid w:val="00981E71"/>
    <w:rsid w:val="0099268B"/>
    <w:rsid w:val="00994D78"/>
    <w:rsid w:val="00996E19"/>
    <w:rsid w:val="00997EBC"/>
    <w:rsid w:val="009A46DE"/>
    <w:rsid w:val="009B4A1A"/>
    <w:rsid w:val="009C1EBA"/>
    <w:rsid w:val="009D01C1"/>
    <w:rsid w:val="009D1CF4"/>
    <w:rsid w:val="009E6A90"/>
    <w:rsid w:val="009F3302"/>
    <w:rsid w:val="00A059E2"/>
    <w:rsid w:val="00A10502"/>
    <w:rsid w:val="00A15EB3"/>
    <w:rsid w:val="00A20D8F"/>
    <w:rsid w:val="00A25C20"/>
    <w:rsid w:val="00A35A4E"/>
    <w:rsid w:val="00A41F72"/>
    <w:rsid w:val="00A55A27"/>
    <w:rsid w:val="00A570F3"/>
    <w:rsid w:val="00A80534"/>
    <w:rsid w:val="00AA5257"/>
    <w:rsid w:val="00AB0C04"/>
    <w:rsid w:val="00AB5974"/>
    <w:rsid w:val="00AF00C0"/>
    <w:rsid w:val="00AF2E26"/>
    <w:rsid w:val="00AF5577"/>
    <w:rsid w:val="00AF59DB"/>
    <w:rsid w:val="00B022E4"/>
    <w:rsid w:val="00B053B6"/>
    <w:rsid w:val="00B10028"/>
    <w:rsid w:val="00B11656"/>
    <w:rsid w:val="00B160E6"/>
    <w:rsid w:val="00B20D0B"/>
    <w:rsid w:val="00B2224E"/>
    <w:rsid w:val="00B27B08"/>
    <w:rsid w:val="00B341DB"/>
    <w:rsid w:val="00B34577"/>
    <w:rsid w:val="00B423F8"/>
    <w:rsid w:val="00B55A5D"/>
    <w:rsid w:val="00B675B0"/>
    <w:rsid w:val="00B9195A"/>
    <w:rsid w:val="00BA18AC"/>
    <w:rsid w:val="00BA5A9D"/>
    <w:rsid w:val="00BB49B3"/>
    <w:rsid w:val="00BC3FE0"/>
    <w:rsid w:val="00BD303B"/>
    <w:rsid w:val="00BD70A0"/>
    <w:rsid w:val="00BE4A9B"/>
    <w:rsid w:val="00BF6AEE"/>
    <w:rsid w:val="00C00639"/>
    <w:rsid w:val="00C04A01"/>
    <w:rsid w:val="00C13251"/>
    <w:rsid w:val="00C14239"/>
    <w:rsid w:val="00C20599"/>
    <w:rsid w:val="00C309AB"/>
    <w:rsid w:val="00C4335C"/>
    <w:rsid w:val="00C47930"/>
    <w:rsid w:val="00C57FC3"/>
    <w:rsid w:val="00C61C66"/>
    <w:rsid w:val="00C6430D"/>
    <w:rsid w:val="00C66F6E"/>
    <w:rsid w:val="00C756EB"/>
    <w:rsid w:val="00C762E4"/>
    <w:rsid w:val="00C77097"/>
    <w:rsid w:val="00C8518F"/>
    <w:rsid w:val="00C90B7F"/>
    <w:rsid w:val="00CB54E4"/>
    <w:rsid w:val="00CC0871"/>
    <w:rsid w:val="00CC1C90"/>
    <w:rsid w:val="00CC7CD4"/>
    <w:rsid w:val="00CF1C63"/>
    <w:rsid w:val="00CF2240"/>
    <w:rsid w:val="00CF3AAC"/>
    <w:rsid w:val="00D00CF1"/>
    <w:rsid w:val="00D109EB"/>
    <w:rsid w:val="00D20538"/>
    <w:rsid w:val="00D247E5"/>
    <w:rsid w:val="00D57347"/>
    <w:rsid w:val="00D60D2C"/>
    <w:rsid w:val="00D705B8"/>
    <w:rsid w:val="00D74E8A"/>
    <w:rsid w:val="00D75CD9"/>
    <w:rsid w:val="00D7718A"/>
    <w:rsid w:val="00D8309B"/>
    <w:rsid w:val="00D85568"/>
    <w:rsid w:val="00D91B86"/>
    <w:rsid w:val="00DA17C5"/>
    <w:rsid w:val="00DA3C8E"/>
    <w:rsid w:val="00DB2454"/>
    <w:rsid w:val="00DB61F2"/>
    <w:rsid w:val="00DC5B6D"/>
    <w:rsid w:val="00DD1D3B"/>
    <w:rsid w:val="00DD2E45"/>
    <w:rsid w:val="00DD3BAC"/>
    <w:rsid w:val="00DD7B0E"/>
    <w:rsid w:val="00DE659D"/>
    <w:rsid w:val="00DF0D23"/>
    <w:rsid w:val="00E0049E"/>
    <w:rsid w:val="00E1298C"/>
    <w:rsid w:val="00E22217"/>
    <w:rsid w:val="00E24BC9"/>
    <w:rsid w:val="00E25407"/>
    <w:rsid w:val="00E258DD"/>
    <w:rsid w:val="00E5381F"/>
    <w:rsid w:val="00E6332E"/>
    <w:rsid w:val="00E73090"/>
    <w:rsid w:val="00E81D6B"/>
    <w:rsid w:val="00E839F9"/>
    <w:rsid w:val="00E8536C"/>
    <w:rsid w:val="00E951AD"/>
    <w:rsid w:val="00E964FD"/>
    <w:rsid w:val="00EA2A9D"/>
    <w:rsid w:val="00EA3097"/>
    <w:rsid w:val="00EB089A"/>
    <w:rsid w:val="00EB1F9C"/>
    <w:rsid w:val="00EC2402"/>
    <w:rsid w:val="00EC4B96"/>
    <w:rsid w:val="00EC6F12"/>
    <w:rsid w:val="00ED30EC"/>
    <w:rsid w:val="00EE4DC4"/>
    <w:rsid w:val="00EF0E55"/>
    <w:rsid w:val="00F16596"/>
    <w:rsid w:val="00F25188"/>
    <w:rsid w:val="00F278DB"/>
    <w:rsid w:val="00F40A9B"/>
    <w:rsid w:val="00F40D16"/>
    <w:rsid w:val="00F40F35"/>
    <w:rsid w:val="00F47E29"/>
    <w:rsid w:val="00F54C84"/>
    <w:rsid w:val="00F602A0"/>
    <w:rsid w:val="00F72A02"/>
    <w:rsid w:val="00F74652"/>
    <w:rsid w:val="00F9183E"/>
    <w:rsid w:val="00F95A7C"/>
    <w:rsid w:val="00FA1C87"/>
    <w:rsid w:val="00FA228B"/>
    <w:rsid w:val="00FB1151"/>
    <w:rsid w:val="00FB252C"/>
    <w:rsid w:val="00FC0F17"/>
    <w:rsid w:val="00FC7C8E"/>
    <w:rsid w:val="00FD073C"/>
    <w:rsid w:val="00FD45BD"/>
    <w:rsid w:val="00FD4F63"/>
    <w:rsid w:val="00FD5F1A"/>
    <w:rsid w:val="00FD6A41"/>
    <w:rsid w:val="00FD7CDE"/>
    <w:rsid w:val="00FE1B4D"/>
    <w:rsid w:val="00FE2428"/>
    <w:rsid w:val="00FE33DE"/>
    <w:rsid w:val="00FF2D05"/>
    <w:rsid w:val="00FF3F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B44CF1"/>
  <w15:chartTrackingRefBased/>
  <w15:docId w15:val="{0E695359-604C-4FF4-B685-31FF50496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uiPriority w:val="20"/>
    <w:qFormat/>
    <w:rsid w:val="002534E3"/>
    <w:rPr>
      <w:i/>
      <w:iCs/>
    </w:rPr>
  </w:style>
  <w:style w:type="character" w:styleId="Strk">
    <w:name w:val="Strong"/>
    <w:basedOn w:val="Standardskrifttypeiafsnit"/>
    <w:qFormat/>
    <w:rsid w:val="008D704D"/>
    <w:rPr>
      <w:b/>
      <w:bCs/>
    </w:rPr>
  </w:style>
  <w:style w:type="character" w:styleId="Kommentarhenvisning">
    <w:name w:val="annotation reference"/>
    <w:basedOn w:val="Standardskrifttypeiafsnit"/>
    <w:unhideWhenUsed/>
    <w:rsid w:val="009F3302"/>
    <w:rPr>
      <w:sz w:val="16"/>
      <w:szCs w:val="16"/>
    </w:rPr>
  </w:style>
  <w:style w:type="paragraph" w:styleId="Kommentartekst">
    <w:name w:val="annotation text"/>
    <w:basedOn w:val="Normal"/>
    <w:link w:val="KommentartekstTegn"/>
    <w:unhideWhenUsed/>
    <w:rsid w:val="009F3302"/>
    <w:pPr>
      <w:spacing w:after="200"/>
    </w:pPr>
    <w:rPr>
      <w:rFonts w:asciiTheme="minorHAnsi" w:eastAsiaTheme="minorHAnsi" w:hAnsiTheme="minorHAnsi" w:cstheme="minorBidi"/>
      <w:sz w:val="20"/>
      <w:szCs w:val="20"/>
      <w:lang w:eastAsia="en-US"/>
    </w:rPr>
  </w:style>
  <w:style w:type="character" w:customStyle="1" w:styleId="KommentartekstTegn">
    <w:name w:val="Kommentartekst Tegn"/>
    <w:basedOn w:val="Standardskrifttypeiafsnit"/>
    <w:link w:val="Kommentartekst"/>
    <w:rsid w:val="009F3302"/>
    <w:rPr>
      <w:rFonts w:asciiTheme="minorHAnsi" w:eastAsiaTheme="minorHAnsi" w:hAnsiTheme="minorHAnsi" w:cstheme="minorBidi"/>
      <w:lang w:eastAsia="en-US"/>
    </w:rPr>
  </w:style>
  <w:style w:type="paragraph" w:styleId="Kommentaremne">
    <w:name w:val="annotation subject"/>
    <w:basedOn w:val="Kommentartekst"/>
    <w:next w:val="Kommentartekst"/>
    <w:link w:val="KommentaremneTegn"/>
    <w:rsid w:val="008C418B"/>
    <w:pPr>
      <w:spacing w:after="0"/>
    </w:pPr>
    <w:rPr>
      <w:rFonts w:ascii="Times New Roman" w:eastAsia="Times New Roman" w:hAnsi="Times New Roman" w:cs="Times New Roman"/>
      <w:b/>
      <w:bCs/>
      <w:lang w:eastAsia="da-DK"/>
    </w:rPr>
  </w:style>
  <w:style w:type="character" w:customStyle="1" w:styleId="KommentaremneTegn">
    <w:name w:val="Kommentaremne Tegn"/>
    <w:basedOn w:val="KommentartekstTegn"/>
    <w:link w:val="Kommentaremne"/>
    <w:rsid w:val="008C418B"/>
    <w:rPr>
      <w:rFonts w:asciiTheme="minorHAnsi" w:eastAsiaTheme="minorHAnsi" w:hAnsiTheme="minorHAnsi" w:cstheme="minorBidi"/>
      <w:b/>
      <w:bCs/>
      <w:lang w:eastAsia="en-US"/>
    </w:rPr>
  </w:style>
  <w:style w:type="paragraph" w:customStyle="1" w:styleId="kapiteloverskrift2">
    <w:name w:val="kapiteloverskrift2"/>
    <w:basedOn w:val="Normal"/>
    <w:rsid w:val="003D129B"/>
    <w:pPr>
      <w:spacing w:after="100"/>
      <w:jc w:val="center"/>
    </w:pPr>
    <w:rPr>
      <w:rFonts w:ascii="Tahoma" w:hAnsi="Tahoma" w:cs="Tahoma"/>
      <w:i/>
      <w:iCs/>
      <w:color w:val="000000"/>
    </w:rPr>
  </w:style>
  <w:style w:type="paragraph" w:customStyle="1" w:styleId="paragraf">
    <w:name w:val="paragraf"/>
    <w:basedOn w:val="Normal"/>
    <w:rsid w:val="003D129B"/>
    <w:pPr>
      <w:spacing w:before="200"/>
      <w:ind w:firstLine="240"/>
    </w:pPr>
    <w:rPr>
      <w:rFonts w:ascii="Tahoma" w:hAnsi="Tahoma" w:cs="Tahoma"/>
      <w:color w:val="000000"/>
    </w:rPr>
  </w:style>
  <w:style w:type="paragraph" w:customStyle="1" w:styleId="stk2">
    <w:name w:val="stk2"/>
    <w:basedOn w:val="Normal"/>
    <w:rsid w:val="003D129B"/>
    <w:pPr>
      <w:ind w:firstLine="240"/>
    </w:pPr>
    <w:rPr>
      <w:rFonts w:ascii="Tahoma" w:hAnsi="Tahoma" w:cs="Tahoma"/>
      <w:color w:val="000000"/>
    </w:rPr>
  </w:style>
  <w:style w:type="paragraph" w:customStyle="1" w:styleId="liste1">
    <w:name w:val="liste1"/>
    <w:basedOn w:val="Normal"/>
    <w:rsid w:val="003D129B"/>
    <w:pPr>
      <w:ind w:left="280"/>
    </w:pPr>
    <w:rPr>
      <w:rFonts w:ascii="Tahoma" w:hAnsi="Tahoma" w:cs="Tahoma"/>
      <w:color w:val="000000"/>
    </w:rPr>
  </w:style>
  <w:style w:type="character" w:customStyle="1" w:styleId="paragrafnr1">
    <w:name w:val="paragrafnr1"/>
    <w:basedOn w:val="Standardskrifttypeiafsnit"/>
    <w:rsid w:val="003D129B"/>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3D129B"/>
    <w:rPr>
      <w:rFonts w:ascii="Tahoma" w:hAnsi="Tahoma" w:cs="Tahoma" w:hint="default"/>
      <w:color w:val="000000"/>
      <w:sz w:val="24"/>
      <w:szCs w:val="24"/>
      <w:shd w:val="clear" w:color="auto" w:fill="auto"/>
    </w:rPr>
  </w:style>
  <w:style w:type="character" w:customStyle="1" w:styleId="stknr1">
    <w:name w:val="stknr1"/>
    <w:basedOn w:val="Standardskrifttypeiafsnit"/>
    <w:rsid w:val="003D129B"/>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3D129B"/>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3D129B"/>
    <w:rPr>
      <w:rFonts w:ascii="Tahoma" w:hAnsi="Tahoma" w:cs="Tahoma" w:hint="default"/>
      <w:b/>
      <w:bCs/>
      <w:color w:val="000000"/>
      <w:sz w:val="24"/>
      <w:szCs w:val="24"/>
      <w:shd w:val="clear" w:color="auto" w:fill="auto"/>
    </w:rPr>
  </w:style>
  <w:style w:type="character" w:styleId="Svaghenvisning">
    <w:name w:val="Subtle Reference"/>
    <w:basedOn w:val="Standardskrifttypeiafsnit"/>
    <w:uiPriority w:val="99"/>
    <w:qFormat/>
    <w:rsid w:val="00867A6C"/>
    <w:rPr>
      <w:smallCaps/>
      <w:color w:val="auto"/>
      <w:u w:val="single"/>
    </w:rPr>
  </w:style>
  <w:style w:type="paragraph" w:customStyle="1" w:styleId="Ledetekst">
    <w:name w:val="Ledetekst"/>
    <w:basedOn w:val="Normal"/>
    <w:uiPriority w:val="3"/>
    <w:rsid w:val="00867A6C"/>
    <w:pPr>
      <w:spacing w:before="40" w:after="40" w:line="260" w:lineRule="atLeast"/>
      <w:ind w:left="57" w:right="57"/>
    </w:pPr>
    <w:rPr>
      <w:rFonts w:ascii="Georgia" w:hAnsi="Georgia"/>
      <w:sz w:val="20"/>
      <w:szCs w:val="20"/>
    </w:rPr>
  </w:style>
  <w:style w:type="character" w:customStyle="1" w:styleId="LedetekstFed">
    <w:name w:val="Ledetekst Fed"/>
    <w:basedOn w:val="Standardskrifttypeiafsnit"/>
    <w:uiPriority w:val="1"/>
    <w:qFormat/>
    <w:rsid w:val="00867A6C"/>
    <w:rPr>
      <w:b/>
    </w:rPr>
  </w:style>
  <w:style w:type="paragraph" w:styleId="Korrektur">
    <w:name w:val="Revision"/>
    <w:hidden/>
    <w:uiPriority w:val="99"/>
    <w:semiHidden/>
    <w:rsid w:val="006D3122"/>
    <w:rPr>
      <w:sz w:val="24"/>
      <w:szCs w:val="24"/>
    </w:rPr>
  </w:style>
  <w:style w:type="character" w:customStyle="1" w:styleId="st1">
    <w:name w:val="st1"/>
    <w:basedOn w:val="Standardskrifttypeiafsnit"/>
    <w:rsid w:val="00981E71"/>
  </w:style>
  <w:style w:type="character" w:styleId="BesgtLink">
    <w:name w:val="FollowedHyperlink"/>
    <w:basedOn w:val="Standardskrifttypeiafsnit"/>
    <w:rsid w:val="006C23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41674">
      <w:bodyDiv w:val="1"/>
      <w:marLeft w:val="0"/>
      <w:marRight w:val="0"/>
      <w:marTop w:val="0"/>
      <w:marBottom w:val="0"/>
      <w:divBdr>
        <w:top w:val="none" w:sz="0" w:space="0" w:color="auto"/>
        <w:left w:val="none" w:sz="0" w:space="0" w:color="auto"/>
        <w:bottom w:val="none" w:sz="0" w:space="0" w:color="auto"/>
        <w:right w:val="none" w:sz="0" w:space="0" w:color="auto"/>
      </w:divBdr>
      <w:divsChild>
        <w:div w:id="235212180">
          <w:marLeft w:val="0"/>
          <w:marRight w:val="0"/>
          <w:marTop w:val="0"/>
          <w:marBottom w:val="300"/>
          <w:divBdr>
            <w:top w:val="none" w:sz="0" w:space="0" w:color="auto"/>
            <w:left w:val="none" w:sz="0" w:space="0" w:color="auto"/>
            <w:bottom w:val="none" w:sz="0" w:space="0" w:color="auto"/>
            <w:right w:val="none" w:sz="0" w:space="0" w:color="auto"/>
          </w:divBdr>
          <w:divsChild>
            <w:div w:id="2005283820">
              <w:marLeft w:val="0"/>
              <w:marRight w:val="0"/>
              <w:marTop w:val="0"/>
              <w:marBottom w:val="0"/>
              <w:divBdr>
                <w:top w:val="none" w:sz="0" w:space="0" w:color="auto"/>
                <w:left w:val="single" w:sz="6" w:space="1" w:color="FFFFFF"/>
                <w:bottom w:val="none" w:sz="0" w:space="0" w:color="auto"/>
                <w:right w:val="single" w:sz="6" w:space="1" w:color="FFFFFF"/>
              </w:divBdr>
              <w:divsChild>
                <w:div w:id="1660773029">
                  <w:marLeft w:val="0"/>
                  <w:marRight w:val="0"/>
                  <w:marTop w:val="0"/>
                  <w:marBottom w:val="0"/>
                  <w:divBdr>
                    <w:top w:val="none" w:sz="0" w:space="0" w:color="auto"/>
                    <w:left w:val="none" w:sz="0" w:space="0" w:color="auto"/>
                    <w:bottom w:val="none" w:sz="0" w:space="0" w:color="auto"/>
                    <w:right w:val="none" w:sz="0" w:space="0" w:color="auto"/>
                  </w:divBdr>
                  <w:divsChild>
                    <w:div w:id="1223324963">
                      <w:marLeft w:val="0"/>
                      <w:marRight w:val="0"/>
                      <w:marTop w:val="0"/>
                      <w:marBottom w:val="0"/>
                      <w:divBdr>
                        <w:top w:val="none" w:sz="0" w:space="0" w:color="auto"/>
                        <w:left w:val="none" w:sz="0" w:space="0" w:color="auto"/>
                        <w:bottom w:val="none" w:sz="0" w:space="0" w:color="auto"/>
                        <w:right w:val="none" w:sz="0" w:space="0" w:color="auto"/>
                      </w:divBdr>
                      <w:divsChild>
                        <w:div w:id="628779391">
                          <w:marLeft w:val="0"/>
                          <w:marRight w:val="0"/>
                          <w:marTop w:val="0"/>
                          <w:marBottom w:val="0"/>
                          <w:divBdr>
                            <w:top w:val="none" w:sz="0" w:space="0" w:color="auto"/>
                            <w:left w:val="none" w:sz="0" w:space="0" w:color="auto"/>
                            <w:bottom w:val="none" w:sz="0" w:space="0" w:color="auto"/>
                            <w:right w:val="none" w:sz="0" w:space="0" w:color="auto"/>
                          </w:divBdr>
                          <w:divsChild>
                            <w:div w:id="335151682">
                              <w:marLeft w:val="0"/>
                              <w:marRight w:val="0"/>
                              <w:marTop w:val="0"/>
                              <w:marBottom w:val="0"/>
                              <w:divBdr>
                                <w:top w:val="none" w:sz="0" w:space="0" w:color="auto"/>
                                <w:left w:val="none" w:sz="0" w:space="0" w:color="auto"/>
                                <w:bottom w:val="none" w:sz="0" w:space="0" w:color="auto"/>
                                <w:right w:val="none" w:sz="0" w:space="0" w:color="auto"/>
                              </w:divBdr>
                              <w:divsChild>
                                <w:div w:id="1915429514">
                                  <w:marLeft w:val="0"/>
                                  <w:marRight w:val="0"/>
                                  <w:marTop w:val="0"/>
                                  <w:marBottom w:val="0"/>
                                  <w:divBdr>
                                    <w:top w:val="none" w:sz="0" w:space="0" w:color="auto"/>
                                    <w:left w:val="none" w:sz="0" w:space="0" w:color="auto"/>
                                    <w:bottom w:val="none" w:sz="0" w:space="0" w:color="auto"/>
                                    <w:right w:val="none" w:sz="0" w:space="0" w:color="auto"/>
                                  </w:divBdr>
                                  <w:divsChild>
                                    <w:div w:id="46563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9985576">
      <w:bodyDiv w:val="1"/>
      <w:marLeft w:val="0"/>
      <w:marRight w:val="0"/>
      <w:marTop w:val="0"/>
      <w:marBottom w:val="0"/>
      <w:divBdr>
        <w:top w:val="none" w:sz="0" w:space="0" w:color="auto"/>
        <w:left w:val="none" w:sz="0" w:space="0" w:color="auto"/>
        <w:bottom w:val="none" w:sz="0" w:space="0" w:color="auto"/>
        <w:right w:val="none" w:sz="0" w:space="0" w:color="auto"/>
      </w:divBdr>
    </w:div>
    <w:div w:id="1157452323">
      <w:bodyDiv w:val="1"/>
      <w:marLeft w:val="0"/>
      <w:marRight w:val="0"/>
      <w:marTop w:val="0"/>
      <w:marBottom w:val="0"/>
      <w:divBdr>
        <w:top w:val="none" w:sz="0" w:space="0" w:color="auto"/>
        <w:left w:val="none" w:sz="0" w:space="0" w:color="auto"/>
        <w:bottom w:val="none" w:sz="0" w:space="0" w:color="auto"/>
        <w:right w:val="none" w:sz="0" w:space="0" w:color="auto"/>
      </w:divBdr>
    </w:div>
    <w:div w:id="1326318879">
      <w:bodyDiv w:val="1"/>
      <w:marLeft w:val="0"/>
      <w:marRight w:val="0"/>
      <w:marTop w:val="0"/>
      <w:marBottom w:val="0"/>
      <w:divBdr>
        <w:top w:val="none" w:sz="0" w:space="0" w:color="auto"/>
        <w:left w:val="none" w:sz="0" w:space="0" w:color="auto"/>
        <w:bottom w:val="none" w:sz="0" w:space="0" w:color="auto"/>
        <w:right w:val="none" w:sz="0" w:space="0" w:color="auto"/>
      </w:divBdr>
      <w:divsChild>
        <w:div w:id="287049003">
          <w:marLeft w:val="0"/>
          <w:marRight w:val="0"/>
          <w:marTop w:val="0"/>
          <w:marBottom w:val="0"/>
          <w:divBdr>
            <w:top w:val="none" w:sz="0" w:space="0" w:color="auto"/>
            <w:left w:val="none" w:sz="0" w:space="0" w:color="auto"/>
            <w:bottom w:val="none" w:sz="0" w:space="0" w:color="auto"/>
            <w:right w:val="none" w:sz="0" w:space="0" w:color="auto"/>
          </w:divBdr>
          <w:divsChild>
            <w:div w:id="1355693961">
              <w:marLeft w:val="0"/>
              <w:marRight w:val="0"/>
              <w:marTop w:val="0"/>
              <w:marBottom w:val="0"/>
              <w:divBdr>
                <w:top w:val="none" w:sz="0" w:space="0" w:color="auto"/>
                <w:left w:val="none" w:sz="0" w:space="0" w:color="auto"/>
                <w:bottom w:val="none" w:sz="0" w:space="0" w:color="auto"/>
                <w:right w:val="none" w:sz="0" w:space="0" w:color="auto"/>
              </w:divBdr>
              <w:divsChild>
                <w:div w:id="1709604178">
                  <w:marLeft w:val="0"/>
                  <w:marRight w:val="0"/>
                  <w:marTop w:val="0"/>
                  <w:marBottom w:val="0"/>
                  <w:divBdr>
                    <w:top w:val="none" w:sz="0" w:space="0" w:color="auto"/>
                    <w:left w:val="none" w:sz="0" w:space="0" w:color="auto"/>
                    <w:bottom w:val="none" w:sz="0" w:space="0" w:color="auto"/>
                    <w:right w:val="none" w:sz="0" w:space="0" w:color="auto"/>
                  </w:divBdr>
                  <w:divsChild>
                    <w:div w:id="928123527">
                      <w:marLeft w:val="0"/>
                      <w:marRight w:val="0"/>
                      <w:marTop w:val="0"/>
                      <w:marBottom w:val="0"/>
                      <w:divBdr>
                        <w:top w:val="none" w:sz="0" w:space="0" w:color="auto"/>
                        <w:left w:val="none" w:sz="0" w:space="0" w:color="auto"/>
                        <w:bottom w:val="none" w:sz="0" w:space="0" w:color="auto"/>
                        <w:right w:val="none" w:sz="0" w:space="0" w:color="auto"/>
                      </w:divBdr>
                      <w:divsChild>
                        <w:div w:id="253513691">
                          <w:marLeft w:val="0"/>
                          <w:marRight w:val="0"/>
                          <w:marTop w:val="0"/>
                          <w:marBottom w:val="0"/>
                          <w:divBdr>
                            <w:top w:val="none" w:sz="0" w:space="0" w:color="auto"/>
                            <w:left w:val="single" w:sz="6" w:space="6" w:color="CBD9E0"/>
                            <w:bottom w:val="single" w:sz="6" w:space="3" w:color="CBD9E0"/>
                            <w:right w:val="single" w:sz="6" w:space="6" w:color="CBD9E0"/>
                          </w:divBdr>
                          <w:divsChild>
                            <w:div w:id="473107310">
                              <w:marLeft w:val="0"/>
                              <w:marRight w:val="0"/>
                              <w:marTop w:val="0"/>
                              <w:marBottom w:val="0"/>
                              <w:divBdr>
                                <w:top w:val="none" w:sz="0" w:space="0" w:color="auto"/>
                                <w:left w:val="none" w:sz="0" w:space="0" w:color="auto"/>
                                <w:bottom w:val="none" w:sz="0" w:space="0" w:color="auto"/>
                                <w:right w:val="none" w:sz="0" w:space="0" w:color="auto"/>
                              </w:divBdr>
                              <w:divsChild>
                                <w:div w:id="117187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ma.mst.dk/" TargetMode="External"/><Relationship Id="rId13" Type="http://schemas.openxmlformats.org/officeDocument/2006/relationships/hyperlink" Target="https://mst.dk/service/publikationer/publikationsarkiv/2005/okt/vejledning-om-anvendelse-af-retssikkerhedsloven-paa-miljoeomraadet/" TargetMode="External"/><Relationship Id="rId18" Type="http://schemas.openxmlformats.org/officeDocument/2006/relationships/hyperlink" Target="https://dma.mst.dk/" TargetMode="External"/><Relationship Id="rId3" Type="http://schemas.openxmlformats.org/officeDocument/2006/relationships/styles" Target="styles.xml"/><Relationship Id="rId21" Type="http://schemas.openxmlformats.org/officeDocument/2006/relationships/hyperlink" Target="https://dma.mst.dk/" TargetMode="External"/><Relationship Id="rId7" Type="http://schemas.openxmlformats.org/officeDocument/2006/relationships/endnotes" Target="endnotes.xml"/><Relationship Id="rId12" Type="http://schemas.openxmlformats.org/officeDocument/2006/relationships/hyperlink" Target="https://eur-lex.europa.eu/LexUriServ/LexUriServ.do?uri=OJ:L:2010:334:0017:0119:da:PDF" TargetMode="External"/><Relationship Id="rId17" Type="http://schemas.openxmlformats.org/officeDocument/2006/relationships/hyperlink" Target="https://chr.fvst.dk/chri/faces/frontpage?_adf.ctrl-state=nf2pf7ykx_3" TargetMode="External"/><Relationship Id="rId2" Type="http://schemas.openxmlformats.org/officeDocument/2006/relationships/numbering" Target="numbering.xml"/><Relationship Id="rId16" Type="http://schemas.openxmlformats.org/officeDocument/2006/relationships/hyperlink" Target="https://datacvr.virk.dk/" TargetMode="External"/><Relationship Id="rId20" Type="http://schemas.openxmlformats.org/officeDocument/2006/relationships/hyperlink" Target="https://dma.mst.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t.dk/service/publikationer/publikationsarkiv/2005/okt/vejledning-om-anvendelse-af-retssikkerhedsloven-paa-miljoeomraad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hr.fvst.dk/chri/faces/frontpage?_adf.ctrl-state=nf2pf7ykx_3" TargetMode="External"/><Relationship Id="rId23" Type="http://schemas.openxmlformats.org/officeDocument/2006/relationships/fontTable" Target="fontTable.xml"/><Relationship Id="rId10" Type="http://schemas.openxmlformats.org/officeDocument/2006/relationships/hyperlink" Target="https://eur-lex.europa.eu/LexUriServ/LexUriServ.do?uri=OJ:L:2010:334:0017:0119:da:PDF" TargetMode="External"/><Relationship Id="rId19" Type="http://schemas.openxmlformats.org/officeDocument/2006/relationships/hyperlink" Target="https://dma.mst.dk/" TargetMode="External"/><Relationship Id="rId4" Type="http://schemas.openxmlformats.org/officeDocument/2006/relationships/settings" Target="settings.xml"/><Relationship Id="rId9" Type="http://schemas.openxmlformats.org/officeDocument/2006/relationships/hyperlink" Target="https://dma.mst.dk/" TargetMode="External"/><Relationship Id="rId14" Type="http://schemas.openxmlformats.org/officeDocument/2006/relationships/hyperlink" Target="https://datacvr.virk.dk/" TargetMode="External"/><Relationship Id="rId22"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E2A77-FA7F-4741-83FF-CE4F349CE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1692</Words>
  <Characters>10640</Characters>
  <Application>Microsoft Office Word</Application>
  <DocSecurity>0</DocSecurity>
  <Lines>180</Lines>
  <Paragraphs>60</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12272</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dc:description/>
  <cp:lastModifiedBy>Sandra Fisker</cp:lastModifiedBy>
  <cp:revision>18</cp:revision>
  <dcterms:created xsi:type="dcterms:W3CDTF">2020-02-07T11:31:00Z</dcterms:created>
  <dcterms:modified xsi:type="dcterms:W3CDTF">2020-02-14T09:35:00Z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